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C290F">
      <w:pPr>
        <w:pStyle w:val="2"/>
        <w:keepNext w:val="0"/>
        <w:keepLines w:val="0"/>
        <w:widowControl/>
        <w:suppressLineNumbers w:val="0"/>
        <w:spacing w:before="30" w:beforeAutospacing="0" w:after="100" w:afterAutospacing="0" w:line="320" w:lineRule="atLeast"/>
        <w:ind w:left="0" w:right="0"/>
        <w:jc w:val="left"/>
      </w:pPr>
      <w:r>
        <w:rPr>
          <w:rStyle w:val="5"/>
          <w:rFonts w:hint="eastAsia" w:ascii="宋体" w:hAnsi="宋体" w:eastAsia="宋体" w:cs="宋体"/>
        </w:rPr>
        <w:t>项目地区：</w:t>
      </w:r>
    </w:p>
    <w:p w14:paraId="5A010409">
      <w:pPr>
        <w:pStyle w:val="2"/>
        <w:keepNext w:val="0"/>
        <w:keepLines w:val="0"/>
        <w:widowControl/>
        <w:suppressLineNumbers w:val="0"/>
        <w:spacing w:before="3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北京市,天津市,河北省,山西省,内蒙古,辽宁省,吉林省,黑龙江,上海市,江苏省,浙江省,福建省,江西省,山东省,河南省,湖北省,湖南省,广东省,广西,海南省,重庆市,四川省,贵州省,云南省,西藏,陕西省,甘肃省,青海省,宁夏,新疆</w:t>
      </w:r>
    </w:p>
    <w:p w14:paraId="572F48E9">
      <w:pPr>
        <w:pStyle w:val="2"/>
        <w:keepNext w:val="0"/>
        <w:keepLines w:val="0"/>
        <w:widowControl/>
        <w:suppressLineNumbers w:val="0"/>
        <w:spacing w:before="30" w:beforeAutospacing="0" w:after="100" w:afterAutospacing="0" w:line="320" w:lineRule="atLeast"/>
        <w:ind w:left="0" w:right="0"/>
      </w:pPr>
      <w:r>
        <w:rPr>
          <w:rStyle w:val="5"/>
          <w:rFonts w:hint="eastAsia" w:ascii="宋体" w:hAnsi="宋体" w:eastAsia="宋体" w:cs="宋体"/>
          <w:sz w:val="16"/>
          <w:szCs w:val="16"/>
        </w:rPr>
        <w:t>详情内容：</w:t>
      </w:r>
    </w:p>
    <w:p w14:paraId="43303DCC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为了适应售后备件的平台化管理，提高运营效率，针对广州（含海口）、西安备件中心的仓储运营进行招标，进一步提升备件的极速供应能力。</w:t>
      </w:r>
    </w:p>
    <w:p w14:paraId="7BF44A49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</w:p>
    <w:p w14:paraId="525E140D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Style w:val="5"/>
          <w:rFonts w:hint="eastAsia" w:ascii="宋体" w:hAnsi="宋体" w:eastAsia="宋体" w:cs="宋体"/>
          <w:sz w:val="16"/>
          <w:szCs w:val="16"/>
        </w:rPr>
        <w:t>一、招标项目</w:t>
      </w:r>
    </w:p>
    <w:p w14:paraId="262802EE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1、 招标项目：</w:t>
      </w:r>
      <w:bookmarkStart w:id="0" w:name="_GoBack"/>
      <w:r>
        <w:rPr>
          <w:rFonts w:hint="eastAsia" w:ascii="宋体" w:hAnsi="宋体" w:eastAsia="宋体" w:cs="宋体"/>
          <w:sz w:val="16"/>
          <w:szCs w:val="16"/>
        </w:rPr>
        <w:t>海信营销管理有限公司备件中心仓储管理和运输业务招标</w:t>
      </w:r>
      <w:bookmarkEnd w:id="0"/>
    </w:p>
    <w:p w14:paraId="62C9B94D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2、 项目内容：发货范围、发货量、发货时效现状</w:t>
      </w:r>
    </w:p>
    <w:tbl>
      <w:tblPr>
        <w:tblW w:w="64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7"/>
        <w:gridCol w:w="929"/>
        <w:gridCol w:w="597"/>
        <w:gridCol w:w="771"/>
        <w:gridCol w:w="771"/>
        <w:gridCol w:w="771"/>
        <w:gridCol w:w="771"/>
        <w:gridCol w:w="1143"/>
      </w:tblGrid>
      <w:tr w14:paraId="366DE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" w:hRule="atLeast"/>
        </w:trPr>
        <w:tc>
          <w:tcPr>
            <w:tcW w:w="41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121169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25年1-12月备件发货现状 元/件—不含税</w:t>
            </w:r>
          </w:p>
        </w:tc>
      </w:tr>
      <w:tr w14:paraId="267AD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" w:hRule="atLeast"/>
        </w:trPr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636DF3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备件中心</w:t>
            </w:r>
          </w:p>
        </w:tc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1A8032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发货区域占比</w:t>
            </w:r>
          </w:p>
        </w:tc>
        <w:tc>
          <w:tcPr>
            <w:tcW w:w="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7630CB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物流时效（平均）</w:t>
            </w:r>
          </w:p>
        </w:tc>
        <w:tc>
          <w:tcPr>
            <w:tcW w:w="3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7396C8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正向发货占比</w:t>
            </w:r>
          </w:p>
        </w:tc>
        <w:tc>
          <w:tcPr>
            <w:tcW w:w="3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3D3354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逆向发货占比</w:t>
            </w:r>
          </w:p>
        </w:tc>
        <w:tc>
          <w:tcPr>
            <w:tcW w:w="5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360D06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结算量折合（件）</w:t>
            </w:r>
          </w:p>
        </w:tc>
      </w:tr>
      <w:tr w14:paraId="2518B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" w:hRule="atLeast"/>
        </w:trPr>
        <w:tc>
          <w:tcPr>
            <w:tcW w:w="5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3048AB35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13373B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约89%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7C92C6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约11%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04CE82E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24H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34C88D9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48H</w:t>
            </w:r>
          </w:p>
        </w:tc>
        <w:tc>
          <w:tcPr>
            <w:tcW w:w="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232B218C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2F682E49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5FC8229A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52D9F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0" w:hRule="atLeast"/>
        </w:trPr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1E999F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广州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5991921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广东、广西、福建、深圳、海南</w:t>
            </w:r>
          </w:p>
        </w:tc>
        <w:tc>
          <w:tcPr>
            <w:tcW w:w="4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5F72F81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全国调拨区域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4899D39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62.59%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7359A1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96.98%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3C0617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74.70%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6CBC1F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25.30%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0DCE43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484390</w:t>
            </w:r>
          </w:p>
        </w:tc>
      </w:tr>
      <w:tr w14:paraId="321AB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0" w:hRule="atLeast"/>
        </w:trPr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110CA3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西安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0CE296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陕西、山西、宁夏、甘肃、青海、西藏、内蒙古部分区域</w:t>
            </w:r>
          </w:p>
        </w:tc>
        <w:tc>
          <w:tcPr>
            <w:tcW w:w="4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173D53B9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00E3AB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55.91%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6E47E7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93.25%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0F386D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82.13%</w:t>
            </w:r>
          </w:p>
        </w:tc>
        <w:tc>
          <w:tcPr>
            <w:tcW w:w="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6BEBD7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17.87%</w:t>
            </w:r>
          </w:p>
        </w:tc>
        <w:tc>
          <w:tcPr>
            <w:tcW w:w="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50" w:type="dxa"/>
              <w:bottom w:w="0" w:type="dxa"/>
              <w:right w:w="50" w:type="dxa"/>
            </w:tcMar>
            <w:vAlign w:val="center"/>
          </w:tcPr>
          <w:p w14:paraId="4A314C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00" w:afterAutospacing="0" w:line="320" w:lineRule="atLeast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sz w:val="16"/>
                <w:szCs w:val="16"/>
                <w:bdr w:val="none" w:color="auto" w:sz="0" w:space="0"/>
              </w:rPr>
              <w:t>128966</w:t>
            </w:r>
          </w:p>
        </w:tc>
      </w:tr>
    </w:tbl>
    <w:p w14:paraId="29DE6D7C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注:上述结算量、调拨占比、标的金额、货运总量仅供投标参考，不作为最终中标的决定依据</w:t>
      </w:r>
    </w:p>
    <w:p w14:paraId="1099357E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</w:p>
    <w:p w14:paraId="1C0A3265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Style w:val="5"/>
          <w:rFonts w:hint="eastAsia" w:ascii="宋体" w:hAnsi="宋体" w:eastAsia="宋体" w:cs="宋体"/>
          <w:sz w:val="16"/>
          <w:szCs w:val="16"/>
        </w:rPr>
        <w:t>二、投标程序：</w:t>
      </w:r>
    </w:p>
    <w:p w14:paraId="5ECAD979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1、 报名截止时间：</w:t>
      </w:r>
    </w:p>
    <w:p w14:paraId="01027D58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2026年3月19日上午9：00始—2026年3月28日下午17：00止</w:t>
      </w:r>
    </w:p>
    <w:p w14:paraId="6CAD04CB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2、仓库现场业务参观时间(需提前联系预约)</w:t>
      </w:r>
    </w:p>
    <w:p w14:paraId="6D75B932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2026年3月19日上午9：00始—2026年3月27日下午17：00止。</w:t>
      </w:r>
    </w:p>
    <w:p w14:paraId="04DC92BA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3、 资质审核开始及截止时间：</w:t>
      </w:r>
    </w:p>
    <w:p w14:paraId="0D349275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2026年3月19日上午9：00始-2026年3月30日下午17：00止。</w:t>
      </w:r>
    </w:p>
    <w:p w14:paraId="66EA7DAD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4、 投标保证金打款开始及截止时间：</w:t>
      </w:r>
    </w:p>
    <w:p w14:paraId="22757450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2026年3月19日上午9：00始-2026年3月31日中午12：00止。</w:t>
      </w:r>
    </w:p>
    <w:p w14:paraId="5CE3A2DF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5、标前会时间</w:t>
      </w:r>
    </w:p>
    <w:p w14:paraId="51F582C0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2026年3月27日下午17：00始-下午18:00止</w:t>
      </w:r>
    </w:p>
    <w:p w14:paraId="4E8A9AD8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6、 商务标一轮投标开始及截止时间：</w:t>
      </w:r>
    </w:p>
    <w:p w14:paraId="7A83F8E9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2026年4月2日上午9:00始-2026年4月2日下午17：00止。</w:t>
      </w:r>
    </w:p>
    <w:p w14:paraId="18126641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7、二轮拦标价发布时间及后续投标节点以实际通知时间为准。</w:t>
      </w:r>
    </w:p>
    <w:p w14:paraId="3F0256DA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注：投标方未按规定时间完成操作的，取消参加此次投标的资格。</w:t>
      </w:r>
    </w:p>
    <w:p w14:paraId="0E1D0BDA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</w:p>
    <w:p w14:paraId="3EA3E0C1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Style w:val="5"/>
          <w:rFonts w:hint="eastAsia" w:ascii="宋体" w:hAnsi="宋体" w:eastAsia="宋体" w:cs="宋体"/>
          <w:sz w:val="16"/>
          <w:szCs w:val="16"/>
        </w:rPr>
        <w:t>三、投标单位需具备的条件和相关要求：</w:t>
      </w:r>
    </w:p>
    <w:p w14:paraId="721B9442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1、要求投标方注册资金在200万元人民币以上（含200万元）。</w:t>
      </w:r>
    </w:p>
    <w:p w14:paraId="564212F2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2、须具有相关物流企业营运资质且无不良合作历史，有行业服务备件管理运营经验或家电类原材料运营经验的</w:t>
      </w:r>
    </w:p>
    <w:p w14:paraId="5B28619C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3、投标单位需具备多模式的快递或物流的发运能力，能够满足招标方指定需求，即：指定区域使用指定快递或物流发运。</w:t>
      </w:r>
    </w:p>
    <w:p w14:paraId="0E689CB8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4、投标单位需具备开具9%税率的增值税发票能力。</w:t>
      </w:r>
    </w:p>
    <w:p w14:paraId="36838CC0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5、投标方必须具备资格资料：包括有效期内营业执照（三证合一）、道路运输经营许可证以及其他证明公司实力和资质的相关资料。</w:t>
      </w:r>
    </w:p>
    <w:p w14:paraId="1037D650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6、本次招标不接受两家及以上供应商联合投标，否则无效。</w:t>
      </w:r>
    </w:p>
    <w:p w14:paraId="143F1535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7、已入围或曾经入围的投标方如存在“严重失信、经营异常、重大税收违法案件等违法、违规问题的”取消参加此次投标的资格。</w:t>
      </w:r>
    </w:p>
    <w:p w14:paraId="5C6876BA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注：招标方将对投标方的投标资格进行审核，符合条件的方可参与投标。</w:t>
      </w:r>
    </w:p>
    <w:p w14:paraId="2B306B6E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</w:p>
    <w:p w14:paraId="712708C3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Style w:val="5"/>
          <w:rFonts w:hint="eastAsia" w:ascii="宋体" w:hAnsi="宋体" w:eastAsia="宋体" w:cs="宋体"/>
          <w:sz w:val="16"/>
          <w:szCs w:val="16"/>
        </w:rPr>
        <w:t>四、招标相关事项说明</w:t>
      </w:r>
    </w:p>
    <w:p w14:paraId="06C3F880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（一）报名</w:t>
      </w:r>
    </w:p>
    <w:p w14:paraId="0845690F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1、本次招标投标方请登录海信非生产物资采购平台（以下简称海信招投标系统），网址：</w:t>
      </w:r>
      <w:r>
        <w:fldChar w:fldCharType="begin"/>
      </w:r>
      <w:r>
        <w:instrText xml:space="preserve"> HYPERLINK "https://np-srm.hisense.com/" </w:instrText>
      </w:r>
      <w:r>
        <w:fldChar w:fldCharType="separate"/>
      </w:r>
      <w:r>
        <w:rPr>
          <w:rStyle w:val="6"/>
          <w:rFonts w:hint="eastAsia" w:ascii="宋体" w:hAnsi="宋体" w:eastAsia="宋体" w:cs="宋体"/>
          <w:color w:val="0000FF"/>
          <w:sz w:val="16"/>
          <w:szCs w:val="16"/>
          <w:u w:val="single"/>
        </w:rPr>
        <w:t>https://np-srm.hisense.com</w:t>
      </w:r>
      <w:r>
        <w:fldChar w:fldCharType="end"/>
      </w:r>
      <w:r>
        <w:rPr>
          <w:rFonts w:hint="eastAsia" w:ascii="宋体" w:hAnsi="宋体" w:eastAsia="宋体" w:cs="宋体"/>
          <w:sz w:val="16"/>
          <w:szCs w:val="16"/>
        </w:rPr>
        <w:t>，注册并上传完整的资质信息经我方审核通过后方可报名。</w:t>
      </w:r>
    </w:p>
    <w:p w14:paraId="2F0A8CCC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2、报名所需资料</w:t>
      </w:r>
    </w:p>
    <w:p w14:paraId="6558D3B6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各投标方系统报名时，根据投标要求将要求的资质审核材料打包成压缩文件统一上传，具体操作指引见附件。</w:t>
      </w:r>
    </w:p>
    <w:p w14:paraId="235463CF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3、招标方将对投标方提供的相关资料进行资格审核，在2026年3月30日前审核通过的投标方，可参与后续投标工作。各投标方可登录海信招投标系统查看审核的状态。</w:t>
      </w:r>
    </w:p>
    <w:p w14:paraId="09482EEA">
      <w:pPr>
        <w:pStyle w:val="2"/>
        <w:keepNext w:val="0"/>
        <w:keepLines w:val="0"/>
        <w:widowControl/>
        <w:suppressLineNumbers w:val="0"/>
        <w:spacing w:before="2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（二）咨询联系人及电话：  王经理 18192918533   亚经理 18053223829</w:t>
      </w:r>
    </w:p>
    <w:p w14:paraId="58B4E490">
      <w:pPr>
        <w:pStyle w:val="2"/>
        <w:keepNext w:val="0"/>
        <w:keepLines w:val="0"/>
        <w:widowControl/>
        <w:suppressLineNumbers w:val="0"/>
        <w:spacing w:before="3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 </w:t>
      </w:r>
    </w:p>
    <w:p w14:paraId="32988955">
      <w:pPr>
        <w:pStyle w:val="2"/>
        <w:keepNext w:val="0"/>
        <w:keepLines w:val="0"/>
        <w:widowControl/>
        <w:suppressLineNumbers w:val="0"/>
        <w:spacing w:before="3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 </w:t>
      </w:r>
    </w:p>
    <w:p w14:paraId="7C70E2E1">
      <w:pPr>
        <w:pStyle w:val="2"/>
        <w:keepNext w:val="0"/>
        <w:keepLines w:val="0"/>
        <w:widowControl/>
        <w:suppressLineNumbers w:val="0"/>
        <w:spacing w:before="50" w:beforeAutospacing="0" w:after="100" w:afterAutospacing="0" w:line="320" w:lineRule="atLeast"/>
        <w:ind w:left="0" w:right="0"/>
      </w:pPr>
      <w:r>
        <w:rPr>
          <w:rFonts w:hint="eastAsia" w:ascii="宋体" w:hAnsi="宋体" w:eastAsia="宋体" w:cs="宋体"/>
          <w:sz w:val="16"/>
          <w:szCs w:val="16"/>
        </w:rPr>
        <w:t> </w:t>
      </w:r>
    </w:p>
    <w:p w14:paraId="028FD253">
      <w:pPr>
        <w:pStyle w:val="2"/>
        <w:keepNext w:val="0"/>
        <w:keepLines w:val="0"/>
        <w:widowControl/>
        <w:suppressLineNumbers w:val="0"/>
        <w:spacing w:before="50" w:beforeAutospacing="0" w:after="50" w:afterAutospacing="0"/>
        <w:ind w:left="0" w:right="0"/>
      </w:pPr>
    </w:p>
    <w:p w14:paraId="51527C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004CC7"/>
    <w:rsid w:val="0700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2026-03-18T04:39:00Z</dcterms:created>
  <dc:creator>WPS_1718096156</dc:creator>
  <cp:lastModifiedBy>WPS_1718096156</cp:lastModifiedBy>
  <dcterms:modified xsi:type="dcterms:W3CDTF">2026-03-18T04:39:52Z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501CEB9293D24540991C55B205F41BCF_11</vt:lpwstr>
  </property>
  <property fmtid="{D5CDD505-2E9C-101B-9397-08002B2CF9AE}" pid="4" name="KSOTemplateDocerSaveRecord">
    <vt:lpwstr>eyJoZGlkIjoiYmQ3YmIzN2U4MjJkZGE0MmRiZjE2MWFhYWI4NGM4ZjEiLCJ1c2VySWQiOiIxNjA3MTU5MDQzIn0=</vt:lpwstr>
  </property>
</Properties>
</file>