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269" w:lineRule="auto"/>
        <w:jc w:val="center"/>
        <w:rPr>
          <w:rFonts w:ascii="黑体" w:hAnsi="黑体" w:eastAsia="黑体"/>
          <w:b/>
          <w:sz w:val="52"/>
          <w:szCs w:val="18"/>
        </w:rPr>
      </w:pPr>
    </w:p>
    <w:p>
      <w:pPr>
        <w:spacing w:before="156" w:beforeLines="50" w:after="312" w:afterLines="100" w:line="269" w:lineRule="auto"/>
        <w:jc w:val="center"/>
        <w:rPr>
          <w:rFonts w:ascii="黑体" w:hAnsi="黑体" w:eastAsia="黑体"/>
          <w:b/>
          <w:sz w:val="96"/>
          <w:szCs w:val="18"/>
        </w:rPr>
      </w:pPr>
      <w:r>
        <w:rPr>
          <w:rFonts w:hint="eastAsia" w:ascii="黑体" w:hAnsi="黑体" w:eastAsia="黑体"/>
          <w:b/>
          <w:sz w:val="96"/>
          <w:szCs w:val="18"/>
        </w:rPr>
        <w:t>《招标文件》</w:t>
      </w:r>
    </w:p>
    <w:p>
      <w:pPr>
        <w:spacing w:before="156" w:beforeLines="50" w:after="312" w:afterLines="100" w:line="269" w:lineRule="auto"/>
        <w:jc w:val="center"/>
        <w:rPr>
          <w:rFonts w:ascii="黑体" w:hAnsi="黑体" w:eastAsia="黑体"/>
          <w:b/>
          <w:sz w:val="36"/>
          <w:szCs w:val="18"/>
        </w:rPr>
      </w:pPr>
      <w:r>
        <w:rPr>
          <w:rFonts w:hint="eastAsia" w:ascii="黑体" w:hAnsi="黑体" w:eastAsia="黑体"/>
          <w:b/>
          <w:sz w:val="36"/>
          <w:szCs w:val="18"/>
        </w:rPr>
        <w:t>202</w:t>
      </w:r>
      <w:r>
        <w:rPr>
          <w:rFonts w:ascii="黑体" w:hAnsi="黑体" w:eastAsia="黑体"/>
          <w:b/>
          <w:sz w:val="36"/>
          <w:szCs w:val="18"/>
        </w:rPr>
        <w:t>3</w:t>
      </w:r>
      <w:r>
        <w:rPr>
          <w:rFonts w:hint="eastAsia" w:ascii="黑体" w:hAnsi="黑体" w:eastAsia="黑体"/>
          <w:b/>
          <w:sz w:val="36"/>
          <w:szCs w:val="18"/>
        </w:rPr>
        <w:t>年广州金松电器营销有限公司</w:t>
      </w:r>
    </w:p>
    <w:p>
      <w:pPr>
        <w:spacing w:before="156" w:beforeLines="50" w:after="312" w:afterLines="100" w:line="269" w:lineRule="auto"/>
        <w:jc w:val="center"/>
        <w:rPr>
          <w:rFonts w:ascii="黑体" w:hAnsi="黑体" w:eastAsia="黑体"/>
          <w:b/>
          <w:sz w:val="36"/>
          <w:szCs w:val="18"/>
        </w:rPr>
      </w:pPr>
      <w:r>
        <w:rPr>
          <w:rFonts w:hint="eastAsia" w:ascii="黑体" w:hAnsi="黑体" w:eastAsia="黑体"/>
          <w:b/>
          <w:sz w:val="36"/>
          <w:szCs w:val="18"/>
          <w:lang w:val="en-US" w:eastAsia="zh-CN"/>
        </w:rPr>
        <w:t>佛山</w:t>
      </w:r>
      <w:r>
        <w:rPr>
          <w:rFonts w:hint="eastAsia" w:ascii="黑体" w:hAnsi="黑体" w:eastAsia="黑体"/>
          <w:b/>
          <w:sz w:val="36"/>
          <w:szCs w:val="18"/>
        </w:rPr>
        <w:t>仓</w:t>
      </w:r>
      <w:r>
        <w:rPr>
          <w:rFonts w:hint="eastAsia" w:ascii="黑体" w:hAnsi="黑体" w:eastAsia="黑体"/>
          <w:b/>
          <w:sz w:val="36"/>
          <w:szCs w:val="18"/>
          <w:lang w:val="en-US" w:eastAsia="zh-CN"/>
        </w:rPr>
        <w:t>库</w:t>
      </w:r>
      <w:r>
        <w:rPr>
          <w:rFonts w:hint="eastAsia" w:ascii="黑体" w:hAnsi="黑体" w:eastAsia="黑体"/>
          <w:b/>
          <w:sz w:val="36"/>
          <w:szCs w:val="18"/>
        </w:rPr>
        <w:t>招标项目</w:t>
      </w:r>
    </w:p>
    <w:p>
      <w:pPr>
        <w:spacing w:before="156" w:beforeLines="50" w:after="312" w:afterLines="100" w:line="269" w:lineRule="auto"/>
        <w:jc w:val="center"/>
        <w:rPr>
          <w:rFonts w:ascii="黑体" w:hAnsi="黑体" w:eastAsia="黑体"/>
          <w:b/>
          <w:sz w:val="36"/>
          <w:szCs w:val="18"/>
        </w:rPr>
      </w:pPr>
    </w:p>
    <w:p>
      <w:pPr>
        <w:spacing w:before="156" w:beforeLines="50" w:after="312" w:afterLines="100" w:line="269" w:lineRule="auto"/>
        <w:jc w:val="center"/>
        <w:rPr>
          <w:rFonts w:ascii="黑体" w:hAnsi="黑体" w:eastAsia="黑体"/>
          <w:b/>
          <w:sz w:val="36"/>
          <w:szCs w:val="18"/>
        </w:rPr>
      </w:pPr>
    </w:p>
    <w:p>
      <w:pPr>
        <w:spacing w:before="156" w:beforeLines="50" w:after="312" w:afterLines="100" w:line="269" w:lineRule="auto"/>
        <w:jc w:val="center"/>
        <w:rPr>
          <w:rFonts w:ascii="黑体" w:hAnsi="黑体" w:eastAsia="黑体"/>
          <w:b/>
          <w:sz w:val="36"/>
          <w:szCs w:val="18"/>
        </w:rPr>
      </w:pPr>
    </w:p>
    <w:p>
      <w:pPr>
        <w:spacing w:before="156" w:beforeLines="50" w:after="312" w:afterLines="100" w:line="269" w:lineRule="auto"/>
        <w:jc w:val="center"/>
        <w:rPr>
          <w:rFonts w:ascii="黑体" w:hAnsi="黑体" w:eastAsia="黑体"/>
          <w:b/>
          <w:sz w:val="36"/>
          <w:szCs w:val="18"/>
        </w:rPr>
      </w:pPr>
    </w:p>
    <w:p>
      <w:pPr>
        <w:spacing w:before="156" w:beforeLines="50" w:after="312" w:afterLines="100" w:line="269" w:lineRule="auto"/>
        <w:jc w:val="center"/>
        <w:rPr>
          <w:rFonts w:ascii="黑体" w:hAnsi="黑体" w:eastAsia="黑体"/>
          <w:b/>
          <w:sz w:val="32"/>
          <w:szCs w:val="18"/>
        </w:rPr>
      </w:pPr>
      <w:r>
        <w:rPr>
          <w:rFonts w:hint="eastAsia" w:ascii="黑体" w:hAnsi="黑体" w:eastAsia="黑体"/>
          <w:b/>
          <w:sz w:val="32"/>
          <w:szCs w:val="18"/>
        </w:rPr>
        <w:t>广州金松电器营销有限公司</w:t>
      </w:r>
    </w:p>
    <w:p>
      <w:pPr>
        <w:spacing w:before="156" w:beforeLines="50" w:after="312" w:afterLines="100" w:line="269" w:lineRule="auto"/>
        <w:jc w:val="center"/>
        <w:rPr>
          <w:rFonts w:ascii="黑体" w:hAnsi="黑体" w:eastAsia="黑体"/>
          <w:b/>
          <w:sz w:val="32"/>
          <w:szCs w:val="18"/>
        </w:rPr>
      </w:pPr>
      <w:r>
        <w:rPr>
          <w:rFonts w:hint="eastAsia" w:ascii="黑体" w:hAnsi="黑体" w:eastAsia="黑体"/>
          <w:b/>
          <w:sz w:val="32"/>
          <w:szCs w:val="18"/>
        </w:rPr>
        <w:t>财务部.物流科</w:t>
      </w:r>
    </w:p>
    <w:p>
      <w:pPr>
        <w:spacing w:before="156" w:beforeLines="50" w:after="312" w:afterLines="100" w:line="269" w:lineRule="auto"/>
        <w:jc w:val="center"/>
        <w:rPr>
          <w:rFonts w:ascii="黑体" w:hAnsi="黑体" w:eastAsia="黑体"/>
          <w:b/>
          <w:sz w:val="32"/>
          <w:szCs w:val="18"/>
        </w:rPr>
      </w:pPr>
      <w:r>
        <w:rPr>
          <w:rFonts w:hint="eastAsia" w:ascii="黑体" w:hAnsi="黑体" w:eastAsia="黑体"/>
          <w:b/>
          <w:sz w:val="32"/>
          <w:szCs w:val="18"/>
        </w:rPr>
        <w:t>202</w:t>
      </w:r>
      <w:r>
        <w:rPr>
          <w:rFonts w:hint="eastAsia" w:ascii="黑体" w:hAnsi="黑体" w:eastAsia="黑体"/>
          <w:b/>
          <w:sz w:val="32"/>
          <w:szCs w:val="18"/>
          <w:lang w:val="en-US" w:eastAsia="zh-CN"/>
        </w:rPr>
        <w:t>3</w:t>
      </w:r>
      <w:r>
        <w:rPr>
          <w:rFonts w:ascii="黑体" w:hAnsi="黑体" w:eastAsia="黑体"/>
          <w:b/>
          <w:sz w:val="32"/>
          <w:szCs w:val="18"/>
        </w:rPr>
        <w:t>年</w:t>
      </w:r>
      <w:r>
        <w:rPr>
          <w:rFonts w:hint="eastAsia" w:ascii="黑体" w:hAnsi="黑体" w:eastAsia="黑体"/>
          <w:b/>
          <w:sz w:val="32"/>
          <w:szCs w:val="18"/>
          <w:lang w:val="en-US" w:eastAsia="zh-CN"/>
        </w:rPr>
        <w:t>7</w:t>
      </w:r>
      <w:r>
        <w:rPr>
          <w:rFonts w:ascii="黑体" w:hAnsi="黑体" w:eastAsia="黑体"/>
          <w:b/>
          <w:sz w:val="32"/>
          <w:szCs w:val="18"/>
        </w:rPr>
        <w:t>月</w:t>
      </w:r>
      <w:r>
        <w:rPr>
          <w:rFonts w:hint="eastAsia" w:ascii="黑体" w:hAnsi="黑体" w:eastAsia="黑体"/>
          <w:b/>
          <w:sz w:val="32"/>
          <w:szCs w:val="18"/>
          <w:lang w:val="en-US" w:eastAsia="zh-CN"/>
        </w:rPr>
        <w:t>1</w:t>
      </w:r>
      <w:r>
        <w:rPr>
          <w:rFonts w:hint="eastAsia" w:ascii="黑体" w:hAnsi="黑体" w:eastAsia="黑体"/>
          <w:b/>
          <w:sz w:val="32"/>
          <w:szCs w:val="18"/>
        </w:rPr>
        <w:t>日</w:t>
      </w:r>
    </w:p>
    <w:p>
      <w:pPr>
        <w:widowControl/>
        <w:spacing w:line="269" w:lineRule="auto"/>
        <w:jc w:val="left"/>
        <w:rPr>
          <w:rFonts w:asciiTheme="minorHAnsi" w:hAnsiTheme="minorHAnsi" w:eastAsiaTheme="minorEastAsia" w:cstheme="minorBidi"/>
          <w:kern w:val="2"/>
          <w:sz w:val="21"/>
          <w:szCs w:val="22"/>
          <w:lang w:val="en-US" w:eastAsia="zh-CN" w:bidi="ar-SA"/>
        </w:rPr>
      </w:pPr>
      <w:r>
        <w:rPr>
          <w:rFonts w:ascii="黑体" w:hAnsi="黑体" w:eastAsia="黑体"/>
          <w:b/>
          <w:sz w:val="36"/>
          <w:szCs w:val="18"/>
        </w:rPr>
        <w:br w:type="page"/>
      </w:r>
    </w:p>
    <w:p>
      <w:pPr>
        <w:bidi w:val="0"/>
        <w:jc w:val="left"/>
        <w:rPr>
          <w:rFonts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w:t>
      </w:r>
    </w:p>
    <w:p>
      <w:pPr>
        <w:spacing w:before="156" w:beforeLines="50" w:after="312" w:afterLines="100" w:line="269" w:lineRule="auto"/>
        <w:jc w:val="center"/>
        <w:rPr>
          <w:rFonts w:ascii="黑体" w:hAnsi="黑体" w:eastAsia="黑体"/>
          <w:b/>
          <w:sz w:val="36"/>
          <w:szCs w:val="18"/>
        </w:rPr>
      </w:pPr>
      <w:r>
        <w:rPr>
          <w:rFonts w:hint="eastAsia" w:ascii="黑体" w:hAnsi="黑体" w:eastAsia="黑体"/>
          <w:b/>
          <w:sz w:val="36"/>
          <w:szCs w:val="18"/>
        </w:rPr>
        <w:t>投 标 人 须 知</w:t>
      </w:r>
    </w:p>
    <w:p>
      <w:pPr>
        <w:pStyle w:val="10"/>
        <w:numPr>
          <w:ilvl w:val="1"/>
          <w:numId w:val="1"/>
        </w:numPr>
        <w:spacing w:line="269" w:lineRule="auto"/>
        <w:ind w:firstLineChars="0"/>
        <w:rPr>
          <w:rFonts w:ascii="黑体" w:hAnsi="黑体" w:eastAsia="黑体"/>
          <w:sz w:val="18"/>
          <w:szCs w:val="18"/>
        </w:rPr>
      </w:pPr>
      <w:r>
        <w:rPr>
          <w:rFonts w:hint="eastAsia" w:ascii="黑体" w:hAnsi="黑体" w:eastAsia="黑体"/>
          <w:sz w:val="18"/>
          <w:szCs w:val="18"/>
        </w:rPr>
        <w:t>投标人被视为充分熟悉本招标项目所在地的与履行合同有关的各种情况，包括自然环境、气候条件、劳动力及公共设施等，本招标文件不再对上述情况进行描述。</w:t>
      </w:r>
    </w:p>
    <w:p>
      <w:pPr>
        <w:pStyle w:val="10"/>
        <w:numPr>
          <w:ilvl w:val="1"/>
          <w:numId w:val="1"/>
        </w:numPr>
        <w:spacing w:line="269" w:lineRule="auto"/>
        <w:ind w:firstLineChars="0"/>
        <w:rPr>
          <w:rFonts w:ascii="黑体" w:hAnsi="黑体" w:eastAsia="黑体"/>
          <w:sz w:val="18"/>
          <w:szCs w:val="18"/>
        </w:rPr>
      </w:pPr>
      <w:r>
        <w:rPr>
          <w:rFonts w:ascii="黑体" w:hAnsi="黑体" w:eastAsia="黑体"/>
          <w:sz w:val="18"/>
          <w:szCs w:val="18"/>
        </w:rPr>
        <w:t>投标人应认真阅读招标文件中所有的事项、格式、条款</w:t>
      </w:r>
      <w:r>
        <w:rPr>
          <w:rFonts w:hint="eastAsia" w:ascii="黑体" w:hAnsi="黑体" w:eastAsia="黑体"/>
          <w:sz w:val="18"/>
          <w:szCs w:val="18"/>
        </w:rPr>
        <w:t>和要求</w:t>
      </w:r>
      <w:r>
        <w:rPr>
          <w:rFonts w:ascii="黑体" w:hAnsi="黑体" w:eastAsia="黑体"/>
          <w:sz w:val="18"/>
          <w:szCs w:val="18"/>
        </w:rPr>
        <w:t>等。如果投标人没有按照招标文件要求提交全部资料是投标人的风险，并可能导致其投标被拒绝。</w:t>
      </w:r>
    </w:p>
    <w:p>
      <w:pPr>
        <w:pStyle w:val="10"/>
        <w:numPr>
          <w:ilvl w:val="1"/>
          <w:numId w:val="1"/>
        </w:numPr>
        <w:spacing w:line="269" w:lineRule="auto"/>
        <w:ind w:firstLineChars="0"/>
        <w:rPr>
          <w:rFonts w:ascii="黑体" w:hAnsi="黑体" w:eastAsia="黑体"/>
          <w:sz w:val="18"/>
          <w:szCs w:val="18"/>
        </w:rPr>
      </w:pPr>
      <w:r>
        <w:rPr>
          <w:rFonts w:hint="eastAsia" w:ascii="黑体" w:hAnsi="黑体" w:eastAsia="黑体"/>
          <w:sz w:val="18"/>
          <w:szCs w:val="18"/>
        </w:rPr>
        <w:t>投标人报价：（1）</w:t>
      </w:r>
      <w:r>
        <w:rPr>
          <w:rFonts w:ascii="黑体" w:hAnsi="黑体" w:eastAsia="黑体"/>
          <w:sz w:val="18"/>
          <w:szCs w:val="18"/>
        </w:rPr>
        <w:t>投标人所提供</w:t>
      </w:r>
      <w:r>
        <w:rPr>
          <w:rFonts w:hint="eastAsia" w:ascii="黑体" w:hAnsi="黑体" w:eastAsia="黑体"/>
          <w:sz w:val="18"/>
          <w:szCs w:val="18"/>
        </w:rPr>
        <w:t>的</w:t>
      </w:r>
      <w:r>
        <w:rPr>
          <w:rFonts w:ascii="黑体" w:hAnsi="黑体" w:eastAsia="黑体"/>
          <w:sz w:val="18"/>
          <w:szCs w:val="18"/>
        </w:rPr>
        <w:t>服务一律用人民币报价</w:t>
      </w:r>
      <w:r>
        <w:rPr>
          <w:rFonts w:hint="eastAsia" w:ascii="黑体" w:hAnsi="黑体" w:eastAsia="黑体"/>
          <w:sz w:val="18"/>
          <w:szCs w:val="18"/>
        </w:rPr>
        <w:t>；（2）</w:t>
      </w:r>
      <w:r>
        <w:rPr>
          <w:rFonts w:ascii="黑体" w:hAnsi="黑体" w:eastAsia="黑体"/>
          <w:sz w:val="18"/>
          <w:szCs w:val="18"/>
        </w:rPr>
        <w:t>投标人对报价的准确性负责，任何漏报、错报等均是投标人的风险。</w:t>
      </w:r>
      <w:r>
        <w:rPr>
          <w:rFonts w:hint="eastAsia" w:ascii="黑体" w:hAnsi="黑体" w:eastAsia="黑体"/>
          <w:sz w:val="18"/>
          <w:szCs w:val="18"/>
        </w:rPr>
        <w:t>（3）</w:t>
      </w:r>
      <w:r>
        <w:rPr>
          <w:rFonts w:ascii="黑体" w:hAnsi="黑体" w:eastAsia="黑体"/>
          <w:sz w:val="18"/>
          <w:szCs w:val="18"/>
        </w:rPr>
        <w:t>每</w:t>
      </w:r>
      <w:r>
        <w:rPr>
          <w:rFonts w:hint="eastAsia" w:ascii="黑体" w:hAnsi="黑体" w:eastAsia="黑体"/>
          <w:sz w:val="18"/>
          <w:szCs w:val="18"/>
        </w:rPr>
        <w:t>个标的</w:t>
      </w:r>
      <w:r>
        <w:rPr>
          <w:rFonts w:ascii="黑体" w:hAnsi="黑体" w:eastAsia="黑体"/>
          <w:sz w:val="18"/>
          <w:szCs w:val="18"/>
        </w:rPr>
        <w:t>只允许一</w:t>
      </w:r>
      <w:r>
        <w:rPr>
          <w:rFonts w:hint="eastAsia" w:ascii="黑体" w:hAnsi="黑体" w:eastAsia="黑体"/>
          <w:sz w:val="18"/>
          <w:szCs w:val="18"/>
        </w:rPr>
        <w:t>种</w:t>
      </w:r>
      <w:r>
        <w:rPr>
          <w:rFonts w:ascii="黑体" w:hAnsi="黑体" w:eastAsia="黑体"/>
          <w:sz w:val="18"/>
          <w:szCs w:val="18"/>
        </w:rPr>
        <w:t>报价，任何有可供选择的报价将不予接收。</w:t>
      </w:r>
    </w:p>
    <w:p>
      <w:pPr>
        <w:pStyle w:val="10"/>
        <w:numPr>
          <w:ilvl w:val="1"/>
          <w:numId w:val="1"/>
        </w:numPr>
        <w:spacing w:line="269" w:lineRule="auto"/>
        <w:ind w:firstLineChars="0"/>
        <w:rPr>
          <w:rFonts w:ascii="黑体" w:hAnsi="黑体" w:eastAsia="黑体"/>
          <w:sz w:val="18"/>
          <w:szCs w:val="18"/>
        </w:rPr>
      </w:pPr>
      <w:r>
        <w:rPr>
          <w:rFonts w:hint="eastAsia" w:ascii="黑体" w:hAnsi="黑体" w:eastAsia="黑体"/>
          <w:sz w:val="18"/>
          <w:szCs w:val="18"/>
        </w:rPr>
        <w:t>禁止恶意报价。</w:t>
      </w:r>
    </w:p>
    <w:p>
      <w:pPr>
        <w:pStyle w:val="10"/>
        <w:numPr>
          <w:ilvl w:val="1"/>
          <w:numId w:val="2"/>
        </w:numPr>
        <w:spacing w:line="269" w:lineRule="auto"/>
        <w:ind w:firstLineChars="0"/>
        <w:rPr>
          <w:rFonts w:ascii="黑体" w:hAnsi="黑体" w:eastAsia="黑体"/>
          <w:color w:val="333333"/>
          <w:sz w:val="18"/>
          <w:szCs w:val="18"/>
        </w:rPr>
      </w:pPr>
      <w:r>
        <w:rPr>
          <w:rFonts w:hint="eastAsia" w:ascii="黑体" w:hAnsi="黑体" w:eastAsia="黑体"/>
          <w:sz w:val="18"/>
          <w:szCs w:val="18"/>
        </w:rPr>
        <w:t>授标之后合同期不得要求广州金松电器</w:t>
      </w:r>
      <w:r>
        <w:rPr>
          <w:rFonts w:hint="eastAsia" w:ascii="黑体" w:hAnsi="黑体" w:eastAsia="黑体"/>
          <w:sz w:val="18"/>
          <w:szCs w:val="18"/>
          <w:lang w:val="en-US" w:eastAsia="zh-CN"/>
        </w:rPr>
        <w:t>营销</w:t>
      </w:r>
      <w:r>
        <w:rPr>
          <w:rFonts w:hint="eastAsia" w:ascii="黑体" w:hAnsi="黑体" w:eastAsia="黑体"/>
          <w:sz w:val="18"/>
          <w:szCs w:val="18"/>
        </w:rPr>
        <w:t>有限公司（以下简称广州金松）提高合同内的所有业务单价和提前解除合同，违者需向广州金松支付违约金</w:t>
      </w:r>
      <w:r>
        <w:rPr>
          <w:rFonts w:hint="eastAsia" w:ascii="黑体" w:hAnsi="黑体" w:eastAsia="黑体"/>
          <w:b/>
          <w:sz w:val="18"/>
          <w:szCs w:val="18"/>
          <w:u w:val="single"/>
        </w:rPr>
        <w:t>壹拾万元整</w:t>
      </w:r>
      <w:r>
        <w:rPr>
          <w:rFonts w:hint="eastAsia" w:ascii="黑体" w:hAnsi="黑体" w:eastAsia="黑体"/>
          <w:sz w:val="18"/>
          <w:szCs w:val="18"/>
        </w:rPr>
        <w:t>。</w:t>
      </w:r>
    </w:p>
    <w:p>
      <w:pPr>
        <w:pStyle w:val="10"/>
        <w:numPr>
          <w:ilvl w:val="1"/>
          <w:numId w:val="2"/>
        </w:numPr>
        <w:spacing w:line="269" w:lineRule="auto"/>
        <w:ind w:firstLineChars="0"/>
        <w:rPr>
          <w:rFonts w:ascii="黑体" w:hAnsi="黑体" w:eastAsia="黑体"/>
          <w:color w:val="333333"/>
          <w:sz w:val="18"/>
          <w:szCs w:val="18"/>
        </w:rPr>
      </w:pPr>
      <w:r>
        <w:rPr>
          <w:rFonts w:hint="eastAsia" w:ascii="黑体" w:hAnsi="黑体" w:eastAsia="黑体"/>
          <w:sz w:val="18"/>
          <w:szCs w:val="18"/>
        </w:rPr>
        <w:t>竞标人的报价必须保证仓储业务能够正常运作，如果服务水平达不到广州金松要求，视为该公司恶意竞标，广州金松除按照合同进行处罚之外，广州金松将委托其他公司，所有费用由中标人承担。</w:t>
      </w:r>
    </w:p>
    <w:p>
      <w:pPr>
        <w:pStyle w:val="10"/>
        <w:numPr>
          <w:ilvl w:val="1"/>
          <w:numId w:val="2"/>
        </w:numPr>
        <w:spacing w:line="269" w:lineRule="auto"/>
        <w:ind w:firstLineChars="0"/>
        <w:rPr>
          <w:rFonts w:ascii="黑体" w:hAnsi="黑体" w:eastAsia="黑体"/>
          <w:color w:val="333333"/>
          <w:sz w:val="18"/>
          <w:szCs w:val="18"/>
        </w:rPr>
      </w:pPr>
      <w:r>
        <w:rPr>
          <w:rFonts w:hint="eastAsia" w:ascii="黑体" w:hAnsi="黑体" w:eastAsia="黑体"/>
          <w:sz w:val="18"/>
          <w:szCs w:val="18"/>
        </w:rPr>
        <w:t>中标人如合同期内无法达到广州金松合同条款内容，广州金松有权终止合同。</w:t>
      </w:r>
    </w:p>
    <w:p>
      <w:pPr>
        <w:pStyle w:val="10"/>
        <w:numPr>
          <w:ilvl w:val="1"/>
          <w:numId w:val="1"/>
        </w:numPr>
        <w:spacing w:line="269" w:lineRule="auto"/>
        <w:ind w:firstLineChars="0"/>
        <w:rPr>
          <w:rFonts w:ascii="黑体" w:hAnsi="黑体" w:eastAsia="黑体"/>
          <w:color w:val="333333"/>
          <w:sz w:val="18"/>
          <w:szCs w:val="18"/>
        </w:rPr>
      </w:pPr>
      <w:r>
        <w:rPr>
          <w:rFonts w:ascii="黑体" w:hAnsi="黑体" w:eastAsia="黑体"/>
          <w:sz w:val="18"/>
          <w:szCs w:val="18"/>
        </w:rPr>
        <w:t>投标人提交的</w:t>
      </w:r>
      <w:r>
        <w:rPr>
          <w:rFonts w:hint="eastAsia" w:ascii="黑体" w:hAnsi="黑体" w:eastAsia="黑体"/>
          <w:sz w:val="18"/>
          <w:szCs w:val="18"/>
        </w:rPr>
        <w:t>《投标人承诺书》和《投标报价单》</w:t>
      </w:r>
      <w:r>
        <w:rPr>
          <w:rFonts w:ascii="黑体" w:hAnsi="黑体" w:eastAsia="黑体"/>
          <w:sz w:val="18"/>
          <w:szCs w:val="18"/>
        </w:rPr>
        <w:t>必须使用招标文件</w:t>
      </w:r>
      <w:r>
        <w:rPr>
          <w:rFonts w:hint="eastAsia" w:ascii="黑体" w:hAnsi="黑体" w:eastAsia="黑体"/>
          <w:sz w:val="18"/>
          <w:szCs w:val="18"/>
        </w:rPr>
        <w:t>中规定</w:t>
      </w:r>
      <w:r>
        <w:rPr>
          <w:rFonts w:ascii="黑体" w:hAnsi="黑体" w:eastAsia="黑体"/>
          <w:sz w:val="18"/>
          <w:szCs w:val="18"/>
        </w:rPr>
        <w:t>的格式</w:t>
      </w:r>
      <w:r>
        <w:rPr>
          <w:rFonts w:hint="eastAsia" w:ascii="黑体" w:hAnsi="黑体" w:eastAsia="黑体"/>
          <w:sz w:val="18"/>
          <w:szCs w:val="18"/>
        </w:rPr>
        <w:t>，且指定</w:t>
      </w:r>
      <w:r>
        <w:rPr>
          <w:rFonts w:ascii="黑体" w:hAnsi="黑体" w:eastAsia="黑体"/>
          <w:sz w:val="18"/>
          <w:szCs w:val="18"/>
        </w:rPr>
        <w:t>位置填写投标人全称、加盖投标人印章、签署法定代表人或法定代表人委托代理人的全名</w:t>
      </w:r>
      <w:r>
        <w:rPr>
          <w:rFonts w:hint="eastAsia" w:ascii="黑体" w:hAnsi="黑体" w:eastAsia="黑体"/>
          <w:sz w:val="18"/>
          <w:szCs w:val="18"/>
        </w:rPr>
        <w:t>，</w:t>
      </w:r>
      <w:r>
        <w:rPr>
          <w:rFonts w:ascii="黑体" w:hAnsi="黑体" w:eastAsia="黑体"/>
          <w:sz w:val="18"/>
          <w:szCs w:val="18"/>
        </w:rPr>
        <w:t>填写部分字迹要工整清楚</w:t>
      </w:r>
      <w:r>
        <w:rPr>
          <w:rFonts w:hint="eastAsia" w:ascii="黑体" w:hAnsi="黑体" w:eastAsia="黑体"/>
          <w:sz w:val="18"/>
          <w:szCs w:val="18"/>
        </w:rPr>
        <w:t>，不得</w:t>
      </w:r>
      <w:r>
        <w:rPr>
          <w:rFonts w:ascii="黑体" w:hAnsi="黑体" w:eastAsia="黑体"/>
          <w:sz w:val="18"/>
          <w:szCs w:val="18"/>
        </w:rPr>
        <w:t>有涂改之处。</w:t>
      </w:r>
    </w:p>
    <w:p>
      <w:pPr>
        <w:pStyle w:val="10"/>
        <w:numPr>
          <w:ilvl w:val="1"/>
          <w:numId w:val="1"/>
        </w:numPr>
        <w:spacing w:line="269" w:lineRule="auto"/>
        <w:ind w:firstLineChars="0"/>
        <w:rPr>
          <w:rFonts w:ascii="黑体" w:hAnsi="黑体" w:eastAsia="黑体"/>
          <w:sz w:val="18"/>
          <w:szCs w:val="18"/>
        </w:rPr>
      </w:pPr>
      <w:r>
        <w:rPr>
          <w:rFonts w:hint="eastAsia" w:ascii="黑体" w:hAnsi="黑体" w:eastAsia="黑体"/>
          <w:sz w:val="18"/>
          <w:szCs w:val="18"/>
        </w:rPr>
        <w:t>投标保证金</w:t>
      </w:r>
    </w:p>
    <w:p>
      <w:pPr>
        <w:pStyle w:val="10"/>
        <w:spacing w:line="269" w:lineRule="auto"/>
        <w:ind w:left="449" w:leftChars="214" w:firstLine="360"/>
        <w:rPr>
          <w:rFonts w:ascii="黑体" w:hAnsi="黑体" w:eastAsia="黑体"/>
          <w:color w:val="333333"/>
          <w:sz w:val="18"/>
          <w:szCs w:val="18"/>
        </w:rPr>
      </w:pPr>
      <w:r>
        <w:rPr>
          <w:rFonts w:hint="eastAsia" w:ascii="黑体" w:hAnsi="黑体" w:eastAsia="黑体"/>
          <w:sz w:val="18"/>
          <w:szCs w:val="18"/>
        </w:rPr>
        <w:t>投标人提交《投标报价单》时需向支付</w:t>
      </w:r>
      <w:r>
        <w:rPr>
          <w:rFonts w:hint="eastAsia" w:ascii="黑体" w:hAnsi="黑体" w:eastAsia="黑体"/>
          <w:sz w:val="18"/>
          <w:szCs w:val="18"/>
          <w:u w:val="single"/>
          <w:lang w:val="en-US" w:eastAsia="zh-CN"/>
        </w:rPr>
        <w:t>0</w:t>
      </w:r>
      <w:r>
        <w:rPr>
          <w:rFonts w:hint="eastAsia" w:ascii="黑体" w:hAnsi="黑体" w:eastAsia="黑体"/>
          <w:sz w:val="18"/>
          <w:szCs w:val="18"/>
          <w:lang w:val="en-US" w:eastAsia="zh-CN"/>
        </w:rPr>
        <w:t>万元</w:t>
      </w:r>
      <w:r>
        <w:rPr>
          <w:rFonts w:hint="eastAsia" w:ascii="黑体" w:hAnsi="黑体" w:eastAsia="黑体"/>
          <w:sz w:val="18"/>
          <w:szCs w:val="18"/>
        </w:rPr>
        <w:t>人民币的保证金，支付方式：银行电汇（户名：</w:t>
      </w:r>
      <w:r>
        <w:rPr>
          <w:rFonts w:hint="eastAsia" w:ascii="黑体" w:hAnsi="黑体" w:eastAsia="黑体"/>
          <w:sz w:val="18"/>
          <w:szCs w:val="18"/>
          <w:lang w:val="en-US" w:eastAsia="zh-CN"/>
        </w:rPr>
        <w:t>广州金松电器营销有限公司，开户银行：</w:t>
      </w:r>
      <w:r>
        <w:rPr>
          <w:rFonts w:hint="eastAsia" w:ascii="黑体" w:hAnsi="黑体" w:eastAsia="黑体"/>
          <w:sz w:val="18"/>
          <w:szCs w:val="18"/>
          <w:u w:val="single"/>
        </w:rPr>
        <w:t>中信银行股份有限公司广州市桥支行，</w:t>
      </w:r>
      <w:r>
        <w:rPr>
          <w:rFonts w:hint="eastAsia" w:ascii="黑体" w:hAnsi="黑体" w:eastAsia="黑体"/>
          <w:sz w:val="18"/>
          <w:szCs w:val="18"/>
          <w:u w:val="single"/>
          <w:lang w:val="en-US" w:eastAsia="zh-CN"/>
        </w:rPr>
        <w:t>账号</w:t>
      </w:r>
      <w:r>
        <w:rPr>
          <w:rFonts w:hint="eastAsia" w:ascii="黑体" w:hAnsi="黑体" w:eastAsia="黑体"/>
          <w:sz w:val="18"/>
          <w:szCs w:val="18"/>
          <w:u w:val="single"/>
          <w:lang w:eastAsia="zh-CN"/>
        </w:rPr>
        <w:t>：</w:t>
      </w:r>
      <w:r>
        <w:rPr>
          <w:rFonts w:hint="eastAsia" w:ascii="黑体" w:hAnsi="黑体" w:eastAsia="黑体"/>
          <w:sz w:val="18"/>
          <w:szCs w:val="18"/>
          <w:u w:val="single"/>
        </w:rPr>
        <w:t>8110901013401062460</w:t>
      </w:r>
      <w:r>
        <w:rPr>
          <w:rFonts w:hint="eastAsia" w:ascii="黑体" w:hAnsi="黑体" w:eastAsia="黑体"/>
          <w:sz w:val="18"/>
          <w:szCs w:val="18"/>
          <w:lang w:val="en-US" w:eastAsia="zh-CN"/>
        </w:rPr>
        <w:t>：）</w:t>
      </w:r>
      <w:r>
        <w:rPr>
          <w:rFonts w:hint="eastAsia" w:ascii="黑体" w:hAnsi="黑体" w:eastAsia="黑体"/>
          <w:sz w:val="18"/>
          <w:szCs w:val="18"/>
          <w:lang w:eastAsia="zh-CN"/>
        </w:rPr>
        <w:t>。</w:t>
      </w:r>
      <w:r>
        <w:rPr>
          <w:rFonts w:hint="eastAsia" w:ascii="黑体" w:hAnsi="黑体" w:eastAsia="黑体"/>
          <w:sz w:val="18"/>
          <w:szCs w:val="18"/>
        </w:rPr>
        <w:t>决标后</w:t>
      </w:r>
      <w:r>
        <w:rPr>
          <w:rFonts w:hint="eastAsia" w:ascii="黑体" w:hAnsi="黑体" w:eastAsia="黑体"/>
          <w:b/>
          <w:bCs/>
          <w:sz w:val="18"/>
          <w:szCs w:val="18"/>
          <w:u w:val="single"/>
        </w:rPr>
        <w:t>15日</w:t>
      </w:r>
      <w:r>
        <w:rPr>
          <w:rFonts w:hint="eastAsia" w:ascii="黑体" w:hAnsi="黑体" w:eastAsia="黑体"/>
          <w:sz w:val="18"/>
          <w:szCs w:val="18"/>
        </w:rPr>
        <w:t>内由</w:t>
      </w:r>
      <w:r>
        <w:rPr>
          <w:rFonts w:hint="eastAsia" w:ascii="黑体" w:hAnsi="黑体" w:eastAsia="黑体"/>
          <w:sz w:val="18"/>
          <w:szCs w:val="18"/>
          <w:lang w:val="en-US" w:eastAsia="zh-CN"/>
        </w:rPr>
        <w:t>广州金松</w:t>
      </w:r>
      <w:r>
        <w:rPr>
          <w:rFonts w:hint="eastAsia" w:ascii="黑体" w:hAnsi="黑体" w:eastAsia="黑体"/>
          <w:sz w:val="18"/>
          <w:szCs w:val="18"/>
        </w:rPr>
        <w:t>将保证金(无息)退回未中标人，中标人在合同期内依约履行义务无任何违约行为，合同履行三个月后</w:t>
      </w:r>
      <w:r>
        <w:rPr>
          <w:rFonts w:hint="eastAsia" w:ascii="黑体" w:hAnsi="黑体" w:eastAsia="黑体"/>
          <w:b/>
          <w:bCs/>
          <w:sz w:val="18"/>
          <w:szCs w:val="18"/>
        </w:rPr>
        <w:t>15</w:t>
      </w:r>
      <w:r>
        <w:rPr>
          <w:rFonts w:hint="eastAsia" w:ascii="黑体" w:hAnsi="黑体" w:eastAsia="黑体"/>
          <w:sz w:val="18"/>
          <w:szCs w:val="18"/>
        </w:rPr>
        <w:t>日内，由</w:t>
      </w:r>
      <w:r>
        <w:rPr>
          <w:rFonts w:hint="eastAsia" w:ascii="黑体" w:hAnsi="黑体" w:eastAsia="黑体"/>
          <w:sz w:val="18"/>
          <w:szCs w:val="18"/>
          <w:lang w:val="en-US" w:eastAsia="zh-CN"/>
        </w:rPr>
        <w:t>广州金松</w:t>
      </w:r>
      <w:r>
        <w:rPr>
          <w:rFonts w:hint="eastAsia" w:ascii="黑体" w:hAnsi="黑体" w:eastAsia="黑体"/>
          <w:sz w:val="18"/>
          <w:szCs w:val="18"/>
        </w:rPr>
        <w:t>将保证金(无息)退回中标人。下列任何情况发生时，保证金将作为违约金不予返还，如投标人的行为给</w:t>
      </w:r>
      <w:r>
        <w:rPr>
          <w:rFonts w:hint="eastAsia" w:ascii="黑体" w:hAnsi="黑体" w:eastAsia="黑体"/>
          <w:sz w:val="18"/>
          <w:szCs w:val="18"/>
          <w:lang w:val="en-US" w:eastAsia="zh-CN"/>
        </w:rPr>
        <w:t>广州金松</w:t>
      </w:r>
      <w:r>
        <w:rPr>
          <w:rFonts w:hint="eastAsia" w:ascii="黑体" w:hAnsi="黑体" w:eastAsia="黑体"/>
          <w:sz w:val="18"/>
          <w:szCs w:val="18"/>
        </w:rPr>
        <w:t>造成的损失超过保证金数额的，还应当对超过部分予以赔偿：（1）投标人在招标人决标前撤回其投标；（2）投标人在投标过程中不遵循招投标程序、提供虚假材料等行为；（3）中标人放弃与</w:t>
      </w:r>
      <w:r>
        <w:rPr>
          <w:rFonts w:hint="eastAsia" w:ascii="黑体" w:hAnsi="黑体" w:eastAsia="黑体"/>
          <w:sz w:val="18"/>
          <w:szCs w:val="18"/>
          <w:lang w:val="en-US" w:eastAsia="zh-CN"/>
        </w:rPr>
        <w:t>广州金松</w:t>
      </w:r>
      <w:r>
        <w:rPr>
          <w:rFonts w:hint="eastAsia" w:ascii="黑体" w:hAnsi="黑体" w:eastAsia="黑体"/>
          <w:sz w:val="18"/>
          <w:szCs w:val="18"/>
        </w:rPr>
        <w:t>订立合同或签订合同后不履行。</w:t>
      </w:r>
    </w:p>
    <w:p>
      <w:pPr>
        <w:pStyle w:val="10"/>
        <w:numPr>
          <w:ilvl w:val="1"/>
          <w:numId w:val="1"/>
        </w:numPr>
        <w:spacing w:line="269" w:lineRule="auto"/>
        <w:ind w:firstLineChars="0"/>
        <w:rPr>
          <w:rFonts w:ascii="黑体" w:hAnsi="黑体" w:eastAsia="黑体"/>
          <w:sz w:val="18"/>
          <w:szCs w:val="18"/>
        </w:rPr>
      </w:pPr>
      <w:r>
        <w:rPr>
          <w:rFonts w:ascii="黑体" w:hAnsi="黑体" w:eastAsia="黑体"/>
          <w:sz w:val="18"/>
          <w:szCs w:val="18"/>
        </w:rPr>
        <w:t>投标人提交</w:t>
      </w:r>
      <w:r>
        <w:rPr>
          <w:rFonts w:hint="eastAsia" w:ascii="黑体" w:hAnsi="黑体" w:eastAsia="黑体"/>
          <w:sz w:val="18"/>
          <w:szCs w:val="18"/>
        </w:rPr>
        <w:t>的《投标报价单》必须</w:t>
      </w:r>
      <w:r>
        <w:rPr>
          <w:rFonts w:ascii="黑体" w:hAnsi="黑体" w:eastAsia="黑体"/>
          <w:sz w:val="18"/>
          <w:szCs w:val="18"/>
        </w:rPr>
        <w:t>密封，并在信封上标明 “</w:t>
      </w:r>
      <w:r>
        <w:rPr>
          <w:rFonts w:hint="eastAsia" w:ascii="黑体" w:hAnsi="黑体" w:eastAsia="黑体"/>
          <w:sz w:val="18"/>
          <w:szCs w:val="18"/>
          <w:u w:val="single"/>
        </w:rPr>
        <w:t>投标单位：XXXX公司</w:t>
      </w:r>
      <w:r>
        <w:rPr>
          <w:rFonts w:ascii="黑体" w:hAnsi="黑体" w:eastAsia="黑体"/>
          <w:sz w:val="18"/>
          <w:szCs w:val="18"/>
        </w:rPr>
        <w:t>”。其封口处应加盖投标人</w:t>
      </w:r>
      <w:r>
        <w:rPr>
          <w:rFonts w:hint="eastAsia" w:ascii="黑体" w:hAnsi="黑体" w:eastAsia="黑体"/>
          <w:sz w:val="18"/>
          <w:szCs w:val="18"/>
        </w:rPr>
        <w:t>骑缝</w:t>
      </w:r>
      <w:r>
        <w:rPr>
          <w:rFonts w:ascii="黑体" w:hAnsi="黑体" w:eastAsia="黑体"/>
          <w:sz w:val="18"/>
          <w:szCs w:val="18"/>
        </w:rPr>
        <w:t>公章。如果未按上述规定密封和标记，</w:t>
      </w:r>
      <w:r>
        <w:rPr>
          <w:rFonts w:hint="eastAsia" w:ascii="黑体" w:hAnsi="黑体" w:eastAsia="黑体"/>
          <w:sz w:val="18"/>
          <w:szCs w:val="18"/>
        </w:rPr>
        <w:t>广州金松</w:t>
      </w:r>
      <w:r>
        <w:rPr>
          <w:rFonts w:ascii="黑体" w:hAnsi="黑体" w:eastAsia="黑体"/>
          <w:sz w:val="18"/>
          <w:szCs w:val="18"/>
        </w:rPr>
        <w:t>对</w:t>
      </w:r>
      <w:r>
        <w:rPr>
          <w:rFonts w:hint="eastAsia" w:ascii="黑体" w:hAnsi="黑体" w:eastAsia="黑体"/>
          <w:sz w:val="18"/>
          <w:szCs w:val="18"/>
        </w:rPr>
        <w:t>《投标报价单》</w:t>
      </w:r>
      <w:r>
        <w:rPr>
          <w:rFonts w:ascii="黑体" w:hAnsi="黑体" w:eastAsia="黑体"/>
          <w:sz w:val="18"/>
          <w:szCs w:val="18"/>
        </w:rPr>
        <w:t>的误投或过早启封概不负责。对由此造成提前启封的</w:t>
      </w:r>
      <w:r>
        <w:rPr>
          <w:rFonts w:hint="eastAsia" w:ascii="黑体" w:hAnsi="黑体" w:eastAsia="黑体"/>
          <w:sz w:val="18"/>
          <w:szCs w:val="18"/>
        </w:rPr>
        <w:t>《投标报价单》</w:t>
      </w:r>
      <w:r>
        <w:rPr>
          <w:rFonts w:ascii="黑体" w:hAnsi="黑体" w:eastAsia="黑体"/>
          <w:sz w:val="18"/>
          <w:szCs w:val="18"/>
        </w:rPr>
        <w:t>，</w:t>
      </w:r>
      <w:r>
        <w:rPr>
          <w:rFonts w:hint="eastAsia" w:ascii="黑体" w:hAnsi="黑体" w:eastAsia="黑体"/>
          <w:sz w:val="18"/>
          <w:szCs w:val="18"/>
        </w:rPr>
        <w:t>广州金松</w:t>
      </w:r>
      <w:r>
        <w:rPr>
          <w:rFonts w:ascii="黑体" w:hAnsi="黑体" w:eastAsia="黑体"/>
          <w:sz w:val="18"/>
          <w:szCs w:val="18"/>
        </w:rPr>
        <w:t>将予以拒绝，并退回投标人。</w:t>
      </w:r>
    </w:p>
    <w:p>
      <w:pPr>
        <w:pStyle w:val="10"/>
        <w:numPr>
          <w:ilvl w:val="1"/>
          <w:numId w:val="1"/>
        </w:numPr>
        <w:spacing w:line="269" w:lineRule="auto"/>
        <w:ind w:firstLineChars="0"/>
        <w:rPr>
          <w:rFonts w:ascii="黑体" w:hAnsi="黑体" w:eastAsia="黑体"/>
          <w:b/>
          <w:bCs/>
          <w:color w:val="333333"/>
          <w:sz w:val="24"/>
        </w:rPr>
      </w:pPr>
      <w:r>
        <w:rPr>
          <w:rFonts w:ascii="黑体" w:hAnsi="黑体" w:eastAsia="黑体"/>
          <w:sz w:val="18"/>
          <w:szCs w:val="18"/>
        </w:rPr>
        <w:t>投标人应将</w:t>
      </w:r>
      <w:r>
        <w:rPr>
          <w:rFonts w:hint="eastAsia" w:ascii="黑体" w:hAnsi="黑体" w:eastAsia="黑体"/>
          <w:sz w:val="18"/>
          <w:szCs w:val="18"/>
        </w:rPr>
        <w:t>《投标人承诺书》和《投标报价单》</w:t>
      </w:r>
      <w:r>
        <w:rPr>
          <w:rFonts w:ascii="黑体" w:hAnsi="黑体" w:eastAsia="黑体"/>
          <w:sz w:val="18"/>
          <w:szCs w:val="18"/>
        </w:rPr>
        <w:t>不迟于</w:t>
      </w:r>
      <w:r>
        <w:rPr>
          <w:rFonts w:hint="eastAsia" w:ascii="黑体" w:hAnsi="黑体" w:eastAsia="黑体"/>
          <w:b/>
          <w:sz w:val="18"/>
          <w:szCs w:val="18"/>
          <w:u w:val="single"/>
        </w:rPr>
        <w:t>202</w:t>
      </w:r>
      <w:r>
        <w:rPr>
          <w:rFonts w:hint="eastAsia" w:ascii="黑体" w:hAnsi="黑体" w:eastAsia="黑体"/>
          <w:b/>
          <w:sz w:val="18"/>
          <w:szCs w:val="18"/>
          <w:u w:val="single"/>
          <w:lang w:val="en-US" w:eastAsia="zh-CN"/>
        </w:rPr>
        <w:t>3</w:t>
      </w:r>
      <w:r>
        <w:rPr>
          <w:rFonts w:hint="eastAsia" w:ascii="黑体" w:hAnsi="黑体" w:eastAsia="黑体"/>
          <w:b/>
          <w:sz w:val="18"/>
          <w:szCs w:val="18"/>
          <w:u w:val="single"/>
        </w:rPr>
        <w:t>年</w:t>
      </w:r>
      <w:r>
        <w:rPr>
          <w:rFonts w:hint="eastAsia" w:ascii="黑体" w:hAnsi="黑体" w:eastAsia="黑体"/>
          <w:b/>
          <w:sz w:val="18"/>
          <w:szCs w:val="18"/>
          <w:u w:val="single"/>
          <w:lang w:val="en-US" w:eastAsia="zh-CN"/>
        </w:rPr>
        <w:t>6</w:t>
      </w:r>
      <w:r>
        <w:rPr>
          <w:rFonts w:hint="eastAsia" w:ascii="黑体" w:hAnsi="黑体" w:eastAsia="黑体"/>
          <w:b/>
          <w:sz w:val="18"/>
          <w:szCs w:val="18"/>
          <w:u w:val="single"/>
        </w:rPr>
        <w:t>月</w:t>
      </w:r>
      <w:r>
        <w:rPr>
          <w:rFonts w:hint="eastAsia" w:ascii="黑体" w:hAnsi="黑体" w:eastAsia="黑体"/>
          <w:b/>
          <w:sz w:val="18"/>
          <w:szCs w:val="18"/>
          <w:u w:val="single"/>
          <w:lang w:val="en-US" w:eastAsia="zh-CN"/>
        </w:rPr>
        <w:t>30</w:t>
      </w:r>
      <w:r>
        <w:rPr>
          <w:rFonts w:hint="eastAsia" w:ascii="黑体" w:hAnsi="黑体" w:eastAsia="黑体"/>
          <w:b/>
          <w:sz w:val="18"/>
          <w:szCs w:val="18"/>
          <w:u w:val="single"/>
        </w:rPr>
        <w:t>日前</w:t>
      </w:r>
      <w:r>
        <w:rPr>
          <w:rFonts w:hint="eastAsia" w:ascii="黑体" w:hAnsi="黑体" w:eastAsia="黑体"/>
          <w:b/>
          <w:sz w:val="18"/>
          <w:szCs w:val="18"/>
          <w:u w:val="single"/>
          <w:lang w:eastAsia="zh-CN"/>
        </w:rPr>
        <w:t>（</w:t>
      </w:r>
      <w:r>
        <w:rPr>
          <w:rFonts w:hint="eastAsia" w:ascii="黑体" w:hAnsi="黑体" w:eastAsia="黑体"/>
          <w:b/>
          <w:sz w:val="18"/>
          <w:szCs w:val="18"/>
          <w:u w:val="single"/>
        </w:rPr>
        <w:t>将原件邮寄到</w:t>
      </w:r>
      <w:r>
        <w:rPr>
          <w:rFonts w:hint="eastAsia" w:ascii="黑体" w:hAnsi="黑体" w:eastAsia="黑体"/>
          <w:b/>
          <w:bCs/>
          <w:sz w:val="18"/>
          <w:szCs w:val="18"/>
          <w:lang w:val="en-US" w:eastAsia="zh-CN"/>
        </w:rPr>
        <w:t>：</w:t>
      </w:r>
      <w:r>
        <w:rPr>
          <w:rFonts w:hint="eastAsia" w:ascii="黑体" w:hAnsi="黑体" w:eastAsia="黑体"/>
          <w:b/>
          <w:bCs/>
          <w:sz w:val="18"/>
          <w:szCs w:val="18"/>
          <w:u w:val="single"/>
          <w:lang w:val="en-US" w:eastAsia="zh-CN"/>
        </w:rPr>
        <w:t>广东省广州市天河区珠江新城海安路13号财富世纪广场A1栋  2703室  收件人：罗芳  电话：18620261256）</w:t>
      </w:r>
      <w:r>
        <w:rPr>
          <w:rFonts w:ascii="黑体" w:hAnsi="黑体" w:eastAsia="黑体"/>
          <w:sz w:val="18"/>
          <w:szCs w:val="18"/>
        </w:rPr>
        <w:t>在投标截止期之后投标人不得撤回其投标，否则其投标保证金将按照本须知的规定被没收。在投标截止期之后，投标人不得对其投标做任何修改。</w:t>
      </w:r>
    </w:p>
    <w:p>
      <w:pPr>
        <w:pStyle w:val="10"/>
        <w:numPr>
          <w:ilvl w:val="0"/>
          <w:numId w:val="0"/>
        </w:numPr>
        <w:spacing w:line="269" w:lineRule="auto"/>
        <w:ind w:left="420" w:leftChars="0"/>
        <w:rPr>
          <w:rFonts w:ascii="黑体" w:hAnsi="黑体" w:eastAsia="黑体"/>
          <w:b/>
          <w:color w:val="333333"/>
          <w:sz w:val="24"/>
        </w:rPr>
      </w:pPr>
    </w:p>
    <w:p>
      <w:pPr>
        <w:pStyle w:val="10"/>
        <w:spacing w:line="269" w:lineRule="auto"/>
        <w:ind w:left="0" w:leftChars="0" w:firstLine="0" w:firstLineChars="0"/>
        <w:rPr>
          <w:rFonts w:ascii="黑体" w:hAnsi="黑体" w:eastAsia="黑体"/>
          <w:b/>
          <w:color w:val="333333"/>
          <w:sz w:val="24"/>
        </w:rPr>
      </w:pPr>
    </w:p>
    <w:p>
      <w:pPr>
        <w:pStyle w:val="10"/>
        <w:spacing w:line="269" w:lineRule="auto"/>
        <w:ind w:left="5880" w:firstLineChars="0"/>
        <w:rPr>
          <w:rFonts w:ascii="黑体" w:hAnsi="黑体" w:eastAsia="黑体"/>
          <w:b/>
          <w:color w:val="333333"/>
          <w:sz w:val="24"/>
        </w:rPr>
      </w:pPr>
    </w:p>
    <w:p>
      <w:pPr>
        <w:pStyle w:val="10"/>
        <w:spacing w:line="269" w:lineRule="auto"/>
        <w:ind w:left="5880" w:firstLineChars="0"/>
        <w:rPr>
          <w:rFonts w:ascii="黑体" w:hAnsi="黑体" w:eastAsia="黑体"/>
          <w:b/>
          <w:color w:val="333333"/>
          <w:sz w:val="24"/>
        </w:rPr>
      </w:pPr>
    </w:p>
    <w:p>
      <w:pPr>
        <w:pStyle w:val="10"/>
        <w:spacing w:line="269" w:lineRule="auto"/>
        <w:ind w:left="5880" w:firstLineChars="0"/>
        <w:rPr>
          <w:rFonts w:ascii="黑体" w:hAnsi="黑体" w:eastAsia="黑体"/>
          <w:b/>
          <w:color w:val="333333"/>
          <w:sz w:val="24"/>
        </w:rPr>
      </w:pPr>
      <w:r>
        <w:rPr>
          <w:rFonts w:hint="eastAsia" w:ascii="黑体" w:hAnsi="黑体" w:eastAsia="黑体"/>
          <w:b/>
          <w:color w:val="333333"/>
          <w:sz w:val="24"/>
        </w:rPr>
        <w:t>广州金松电器营销有限公司</w:t>
      </w:r>
    </w:p>
    <w:p>
      <w:pPr>
        <w:pStyle w:val="10"/>
        <w:spacing w:line="269" w:lineRule="auto"/>
        <w:ind w:left="780" w:firstLine="0" w:firstLineChars="0"/>
        <w:jc w:val="center"/>
        <w:rPr>
          <w:rFonts w:ascii="黑体" w:hAnsi="黑体" w:eastAsia="黑体"/>
          <w:b/>
          <w:sz w:val="32"/>
          <w:szCs w:val="28"/>
        </w:rPr>
      </w:pPr>
      <w:r>
        <w:rPr>
          <w:rFonts w:hint="eastAsia" w:ascii="黑体" w:hAnsi="黑体" w:eastAsia="黑体"/>
          <w:b/>
          <w:color w:val="333333"/>
          <w:sz w:val="24"/>
        </w:rPr>
        <w:t xml:space="preserve">                                        202</w:t>
      </w:r>
      <w:r>
        <w:rPr>
          <w:rFonts w:hint="eastAsia" w:ascii="黑体" w:hAnsi="黑体" w:eastAsia="黑体"/>
          <w:b/>
          <w:color w:val="333333"/>
          <w:sz w:val="24"/>
          <w:lang w:val="en-US" w:eastAsia="zh-CN"/>
        </w:rPr>
        <w:t>3</w:t>
      </w:r>
      <w:r>
        <w:rPr>
          <w:rFonts w:hint="eastAsia" w:ascii="黑体" w:hAnsi="黑体" w:eastAsia="黑体"/>
          <w:b/>
          <w:color w:val="333333"/>
          <w:sz w:val="24"/>
        </w:rPr>
        <w:t>年</w:t>
      </w:r>
      <w:r>
        <w:rPr>
          <w:rFonts w:hint="eastAsia" w:ascii="黑体" w:hAnsi="黑体" w:eastAsia="黑体"/>
          <w:b/>
          <w:color w:val="333333"/>
          <w:sz w:val="24"/>
          <w:lang w:val="en-US" w:eastAsia="zh-CN"/>
        </w:rPr>
        <w:t>7</w:t>
      </w:r>
      <w:bookmarkStart w:id="0" w:name="_GoBack"/>
      <w:bookmarkEnd w:id="0"/>
      <w:r>
        <w:rPr>
          <w:rFonts w:hint="eastAsia" w:ascii="黑体" w:hAnsi="黑体" w:eastAsia="黑体"/>
          <w:b/>
          <w:color w:val="333333"/>
          <w:sz w:val="24"/>
        </w:rPr>
        <w:t>月</w:t>
      </w:r>
      <w:r>
        <w:rPr>
          <w:rFonts w:hint="eastAsia" w:ascii="黑体" w:hAnsi="黑体" w:eastAsia="黑体"/>
          <w:b/>
          <w:color w:val="333333"/>
          <w:sz w:val="24"/>
          <w:lang w:val="en-US" w:eastAsia="zh-CN"/>
        </w:rPr>
        <w:t>1</w:t>
      </w:r>
      <w:r>
        <w:rPr>
          <w:rFonts w:hint="eastAsia" w:ascii="黑体" w:hAnsi="黑体" w:eastAsia="黑体"/>
          <w:b/>
          <w:color w:val="333333"/>
          <w:sz w:val="24"/>
        </w:rPr>
        <w:t>日</w:t>
      </w:r>
      <w:r>
        <w:rPr>
          <w:rFonts w:ascii="黑体" w:hAnsi="黑体" w:eastAsia="黑体"/>
          <w:b/>
          <w:sz w:val="32"/>
          <w:szCs w:val="28"/>
        </w:rPr>
        <w:br w:type="page"/>
      </w:r>
    </w:p>
    <w:p>
      <w:pPr>
        <w:spacing w:line="269" w:lineRule="auto"/>
        <w:jc w:val="center"/>
        <w:rPr>
          <w:rFonts w:ascii="黑体" w:hAnsi="黑体" w:eastAsia="黑体"/>
          <w:b/>
          <w:sz w:val="32"/>
          <w:szCs w:val="28"/>
        </w:rPr>
      </w:pPr>
      <w:r>
        <w:rPr>
          <w:rFonts w:hint="eastAsia" w:ascii="黑体" w:hAnsi="黑体" w:eastAsia="黑体"/>
          <w:b/>
          <w:sz w:val="32"/>
          <w:szCs w:val="28"/>
        </w:rPr>
        <w:t>投标内容以及约定条款</w:t>
      </w:r>
    </w:p>
    <w:p>
      <w:pPr>
        <w:pStyle w:val="10"/>
        <w:numPr>
          <w:ilvl w:val="0"/>
          <w:numId w:val="3"/>
        </w:numPr>
        <w:spacing w:line="269" w:lineRule="auto"/>
        <w:ind w:firstLineChars="0"/>
        <w:jc w:val="left"/>
        <w:rPr>
          <w:rFonts w:ascii="黑体" w:hAnsi="黑体" w:eastAsia="黑体"/>
          <w:b/>
          <w:szCs w:val="21"/>
        </w:rPr>
      </w:pPr>
      <w:r>
        <w:rPr>
          <w:rFonts w:hint="eastAsia" w:ascii="黑体" w:hAnsi="黑体" w:eastAsia="黑体"/>
          <w:b/>
          <w:szCs w:val="21"/>
        </w:rPr>
        <w:t>投标内容（标物）</w:t>
      </w:r>
    </w:p>
    <w:tbl>
      <w:tblPr>
        <w:tblStyle w:val="6"/>
        <w:tblW w:w="7845" w:type="dxa"/>
        <w:tblInd w:w="93" w:type="dxa"/>
        <w:tblLayout w:type="autofit"/>
        <w:tblCellMar>
          <w:top w:w="0" w:type="dxa"/>
          <w:left w:w="108" w:type="dxa"/>
          <w:bottom w:w="0" w:type="dxa"/>
          <w:right w:w="108" w:type="dxa"/>
        </w:tblCellMar>
      </w:tblPr>
      <w:tblGrid>
        <w:gridCol w:w="1275"/>
        <w:gridCol w:w="3210"/>
        <w:gridCol w:w="1680"/>
        <w:gridCol w:w="1680"/>
      </w:tblGrid>
      <w:tr>
        <w:tblPrEx>
          <w:tblCellMar>
            <w:top w:w="0" w:type="dxa"/>
            <w:left w:w="108" w:type="dxa"/>
            <w:bottom w:w="0" w:type="dxa"/>
            <w:right w:w="108" w:type="dxa"/>
          </w:tblCellMar>
        </w:tblPrEx>
        <w:trPr>
          <w:trHeight w:val="46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竞标项目</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仓储面积</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黑体" w:hAnsi="宋体" w:eastAsia="黑体" w:cs="黑体"/>
                <w:b/>
                <w:bCs/>
                <w:color w:val="000000"/>
                <w:sz w:val="16"/>
                <w:szCs w:val="16"/>
                <w:lang w:val="en-US" w:eastAsia="zh-CN"/>
              </w:rPr>
            </w:pPr>
            <w:r>
              <w:rPr>
                <w:rFonts w:hint="eastAsia" w:ascii="黑体" w:hAnsi="宋体" w:eastAsia="黑体" w:cs="黑体"/>
                <w:b/>
                <w:bCs/>
                <w:color w:val="000000"/>
                <w:sz w:val="16"/>
                <w:szCs w:val="16"/>
                <w:lang w:val="en-US" w:eastAsia="zh-CN"/>
              </w:rPr>
              <w:t>公摊面积</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黑体" w:hAnsi="宋体" w:eastAsia="黑体" w:cs="黑体"/>
                <w:b/>
                <w:bCs/>
                <w:color w:val="000000"/>
                <w:kern w:val="0"/>
                <w:sz w:val="16"/>
                <w:szCs w:val="16"/>
                <w:lang w:val="en-US" w:eastAsia="zh-CN" w:bidi="ar"/>
              </w:rPr>
            </w:pPr>
            <w:r>
              <w:rPr>
                <w:rFonts w:hint="eastAsia" w:ascii="黑体" w:hAnsi="宋体" w:eastAsia="黑体" w:cs="黑体"/>
                <w:b/>
                <w:bCs/>
                <w:color w:val="FF0000"/>
                <w:kern w:val="0"/>
                <w:sz w:val="16"/>
                <w:szCs w:val="16"/>
                <w:lang w:val="en-US" w:eastAsia="zh-CN" w:bidi="ar"/>
              </w:rPr>
              <w:t>单价（平米/月）</w:t>
            </w:r>
            <w:r>
              <w:rPr>
                <w:rFonts w:hint="eastAsia" w:ascii="黑体" w:hAnsi="宋体" w:eastAsia="黑体" w:cs="黑体"/>
                <w:b/>
                <w:bCs/>
                <w:color w:val="FF0000"/>
                <w:kern w:val="0"/>
                <w:sz w:val="16"/>
                <w:szCs w:val="16"/>
                <w:lang w:val="en-US" w:eastAsia="zh-CN" w:bidi="ar"/>
              </w:rPr>
              <w:br w:type="textWrapping"/>
            </w:r>
            <w:r>
              <w:rPr>
                <w:rFonts w:hint="eastAsia" w:ascii="黑体" w:hAnsi="宋体" w:eastAsia="黑体" w:cs="黑体"/>
                <w:b/>
                <w:bCs/>
                <w:color w:val="FF0000"/>
                <w:kern w:val="0"/>
                <w:sz w:val="16"/>
                <w:szCs w:val="16"/>
                <w:lang w:val="en-US" w:eastAsia="zh-CN" w:bidi="ar"/>
              </w:rPr>
              <w:t>含增值税</w:t>
            </w:r>
          </w:p>
        </w:tc>
      </w:tr>
      <w:tr>
        <w:tblPrEx>
          <w:tblCellMar>
            <w:top w:w="0" w:type="dxa"/>
            <w:left w:w="108" w:type="dxa"/>
            <w:bottom w:w="0" w:type="dxa"/>
            <w:right w:w="108" w:type="dxa"/>
          </w:tblCellMar>
        </w:tblPrEx>
        <w:trPr>
          <w:trHeight w:val="926"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val="en-US" w:eastAsia="zh-CN" w:bidi="ar"/>
              </w:rPr>
              <w:t>年</w:t>
            </w:r>
            <w:r>
              <w:rPr>
                <w:rFonts w:hint="eastAsia" w:ascii="黑体" w:hAnsi="宋体" w:eastAsia="黑体" w:cs="黑体"/>
                <w:b/>
                <w:bCs/>
                <w:color w:val="000000"/>
                <w:kern w:val="0"/>
                <w:sz w:val="16"/>
                <w:szCs w:val="16"/>
                <w:lang w:bidi="ar"/>
              </w:rPr>
              <w:t>度业务量</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val="en-US" w:eastAsia="zh-CN" w:bidi="ar"/>
              </w:rPr>
              <w:t>6000</w:t>
            </w:r>
            <w:r>
              <w:rPr>
                <w:rFonts w:hint="eastAsia" w:ascii="黑体" w:hAnsi="宋体" w:eastAsia="黑体" w:cs="黑体"/>
                <w:b/>
                <w:bCs/>
                <w:color w:val="000000"/>
                <w:kern w:val="0"/>
                <w:sz w:val="16"/>
                <w:szCs w:val="16"/>
                <w:lang w:bidi="ar"/>
              </w:rPr>
              <w:t>平方米/月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黑体" w:hAnsi="宋体" w:eastAsia="黑体" w:cs="黑体"/>
                <w:b/>
                <w:bCs/>
                <w:color w:val="000000"/>
                <w:sz w:val="16"/>
                <w:szCs w:val="16"/>
                <w:lang w:val="en-US" w:eastAsia="zh-CN"/>
              </w:rPr>
            </w:pPr>
            <w:r>
              <w:rPr>
                <w:rFonts w:hint="eastAsia" w:ascii="黑体" w:hAnsi="宋体" w:eastAsia="黑体" w:cs="黑体"/>
                <w:b/>
                <w:bCs/>
                <w:color w:val="000000"/>
                <w:kern w:val="0"/>
                <w:sz w:val="16"/>
                <w:szCs w:val="16"/>
                <w:lang w:val="en-US" w:eastAsia="zh-CN" w:bidi="ar"/>
              </w:rPr>
              <w:t>不高于20%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黑体" w:hAnsi="宋体" w:eastAsia="黑体" w:cs="黑体"/>
                <w:b/>
                <w:bCs/>
                <w:color w:val="000000"/>
                <w:kern w:val="0"/>
                <w:sz w:val="16"/>
                <w:szCs w:val="16"/>
                <w:lang w:val="en-US" w:eastAsia="zh-CN" w:bidi="ar"/>
              </w:rPr>
            </w:pPr>
            <w:r>
              <w:rPr>
                <w:rFonts w:hint="eastAsia" w:ascii="黑体" w:hAnsi="宋体" w:eastAsia="黑体" w:cs="黑体"/>
                <w:b/>
                <w:bCs/>
                <w:color w:val="000000"/>
                <w:kern w:val="0"/>
                <w:sz w:val="16"/>
                <w:szCs w:val="16"/>
                <w:lang w:val="en-US" w:eastAsia="zh-CN" w:bidi="ar"/>
              </w:rPr>
              <w:t>小于25</w:t>
            </w:r>
          </w:p>
        </w:tc>
      </w:tr>
    </w:tbl>
    <w:p>
      <w:pPr>
        <w:spacing w:line="269" w:lineRule="auto"/>
        <w:rPr>
          <w:rFonts w:ascii="黑体" w:hAnsi="黑体" w:eastAsia="黑体"/>
          <w:b/>
          <w:szCs w:val="21"/>
        </w:rPr>
      </w:pPr>
    </w:p>
    <w:p>
      <w:pPr>
        <w:pStyle w:val="10"/>
        <w:numPr>
          <w:ilvl w:val="0"/>
          <w:numId w:val="4"/>
        </w:numPr>
        <w:spacing w:line="269" w:lineRule="auto"/>
        <w:ind w:firstLine="0" w:firstLineChars="0"/>
        <w:jc w:val="left"/>
        <w:rPr>
          <w:rFonts w:hint="eastAsia" w:ascii="黑体" w:hAnsi="黑体" w:eastAsia="黑体"/>
          <w:b/>
          <w:szCs w:val="21"/>
        </w:rPr>
      </w:pPr>
      <w:r>
        <w:rPr>
          <w:rFonts w:hint="eastAsia" w:ascii="黑体" w:hAnsi="黑体" w:eastAsia="黑体"/>
          <w:b/>
          <w:szCs w:val="21"/>
        </w:rPr>
        <w:t>招投标内容补充说明</w:t>
      </w:r>
    </w:p>
    <w:p>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lang w:val="en-US" w:eastAsia="zh-CN"/>
        </w:rPr>
        <w:t>仓库内部原则上不能漏水，有漏水处应该在1周内完成修补。</w:t>
      </w:r>
    </w:p>
    <w:p>
      <w:pPr>
        <w:pStyle w:val="10"/>
        <w:numPr>
          <w:ilvl w:val="0"/>
          <w:numId w:val="5"/>
        </w:numPr>
        <w:spacing w:line="269" w:lineRule="auto"/>
        <w:ind w:firstLineChars="0"/>
        <w:jc w:val="left"/>
        <w:rPr>
          <w:rFonts w:ascii="黑体" w:hAnsi="黑体" w:eastAsia="黑体"/>
          <w:szCs w:val="21"/>
        </w:rPr>
      </w:pPr>
      <w:r>
        <w:rPr>
          <w:rFonts w:ascii="黑体" w:hAnsi="黑体" w:eastAsia="黑体"/>
          <w:szCs w:val="21"/>
        </w:rPr>
        <w:t>关于</w:t>
      </w:r>
      <w:r>
        <w:rPr>
          <w:rFonts w:hint="eastAsia" w:ascii="黑体" w:hAnsi="黑体" w:eastAsia="黑体"/>
          <w:szCs w:val="21"/>
        </w:rPr>
        <w:t>仓储单价</w:t>
      </w:r>
      <w:r>
        <w:rPr>
          <w:rFonts w:hint="eastAsia" w:ascii="黑体" w:hAnsi="黑体" w:eastAsia="黑体"/>
          <w:szCs w:val="21"/>
          <w:lang w:eastAsia="zh-CN"/>
        </w:rPr>
        <w:t>：</w:t>
      </w:r>
      <w:r>
        <w:rPr>
          <w:rFonts w:hint="eastAsia" w:ascii="黑体" w:hAnsi="黑体" w:eastAsia="黑体"/>
          <w:szCs w:val="21"/>
          <w:lang w:val="en-US" w:eastAsia="zh-CN"/>
        </w:rPr>
        <w:t>两年内原则上不能涨价，第三年开始5%-10%增幅，具体双方友好协商</w:t>
      </w:r>
      <w:r>
        <w:rPr>
          <w:rFonts w:hint="eastAsia" w:ascii="黑体" w:hAnsi="黑体" w:eastAsia="黑体"/>
          <w:szCs w:val="21"/>
        </w:rPr>
        <w:t>。</w:t>
      </w:r>
    </w:p>
    <w:p>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lang w:val="en-US" w:eastAsia="zh-CN"/>
        </w:rPr>
        <w:t>有消防验收证，符合消防检查要求。（租方自行购买消防灭火器、报警器材料）</w:t>
      </w:r>
    </w:p>
    <w:p>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lang w:val="en-US" w:eastAsia="zh-CN"/>
        </w:rPr>
        <w:t>仓库产权清晰，有产权纠纷属出租方承担一切责任，租方的一切损失由出租方承担。</w:t>
      </w:r>
    </w:p>
    <w:p>
      <w:pPr>
        <w:pStyle w:val="10"/>
        <w:numPr>
          <w:ilvl w:val="0"/>
          <w:numId w:val="5"/>
        </w:numPr>
        <w:spacing w:line="269" w:lineRule="auto"/>
        <w:ind w:firstLineChars="0"/>
        <w:jc w:val="left"/>
        <w:rPr>
          <w:rFonts w:ascii="黑体" w:hAnsi="黑体" w:eastAsia="黑体"/>
          <w:szCs w:val="21"/>
          <w:u w:val="single"/>
        </w:rPr>
      </w:pPr>
      <w:r>
        <w:rPr>
          <w:rFonts w:hint="eastAsia" w:ascii="黑体" w:hAnsi="黑体" w:eastAsia="黑体"/>
          <w:szCs w:val="21"/>
          <w:lang w:val="en-US" w:eastAsia="zh-CN"/>
        </w:rPr>
        <w:t>其他补充说明：</w:t>
      </w:r>
      <w:r>
        <w:rPr>
          <w:rFonts w:hint="eastAsia" w:ascii="黑体" w:hAnsi="黑体" w:eastAsia="黑体"/>
          <w:szCs w:val="21"/>
          <w:u w:val="single"/>
          <w:lang w:val="en-US" w:eastAsia="zh-CN"/>
        </w:rPr>
        <w:t>（                                    ）</w:t>
      </w:r>
    </w:p>
    <w:p>
      <w:pPr>
        <w:pStyle w:val="10"/>
        <w:spacing w:line="269" w:lineRule="auto"/>
        <w:ind w:left="1440" w:firstLine="0" w:firstLineChars="0"/>
        <w:jc w:val="left"/>
        <w:rPr>
          <w:rFonts w:ascii="黑体" w:hAnsi="黑体" w:eastAsia="黑体"/>
          <w:szCs w:val="21"/>
        </w:rPr>
      </w:pPr>
    </w:p>
    <w:p>
      <w:pPr>
        <w:pStyle w:val="10"/>
        <w:spacing w:line="269" w:lineRule="auto"/>
        <w:ind w:firstLine="0" w:firstLineChars="0"/>
        <w:jc w:val="left"/>
        <w:rPr>
          <w:rFonts w:ascii="黑体" w:hAnsi="黑体" w:eastAsia="黑体"/>
          <w:b/>
          <w:szCs w:val="21"/>
        </w:rPr>
      </w:pPr>
      <w:r>
        <w:rPr>
          <w:rFonts w:hint="eastAsia" w:ascii="黑体" w:hAnsi="黑体" w:eastAsia="黑体"/>
          <w:b/>
          <w:szCs w:val="21"/>
        </w:rPr>
        <w:t>三、</w:t>
      </w:r>
      <w:r>
        <w:rPr>
          <w:rFonts w:hint="eastAsia" w:ascii="黑体" w:hAnsi="黑体" w:eastAsia="黑体"/>
          <w:b/>
          <w:szCs w:val="21"/>
          <w:lang w:val="en-US" w:eastAsia="zh-CN"/>
        </w:rPr>
        <w:t>租房</w:t>
      </w:r>
      <w:r>
        <w:rPr>
          <w:rFonts w:hint="eastAsia" w:ascii="黑体" w:hAnsi="黑体" w:eastAsia="黑体"/>
          <w:b/>
          <w:szCs w:val="21"/>
        </w:rPr>
        <w:t>仓储招投标默认约定条件</w:t>
      </w:r>
    </w:p>
    <w:p>
      <w:pPr>
        <w:pStyle w:val="10"/>
        <w:numPr>
          <w:ilvl w:val="0"/>
          <w:numId w:val="6"/>
        </w:numPr>
        <w:spacing w:line="269" w:lineRule="auto"/>
        <w:ind w:firstLineChars="0"/>
        <w:jc w:val="left"/>
        <w:rPr>
          <w:rFonts w:ascii="黑体" w:hAnsi="黑体" w:eastAsia="黑体"/>
          <w:szCs w:val="21"/>
        </w:rPr>
      </w:pPr>
      <w:r>
        <w:rPr>
          <w:rFonts w:hint="eastAsia" w:ascii="黑体" w:hAnsi="黑体" w:eastAsia="黑体"/>
          <w:szCs w:val="21"/>
        </w:rPr>
        <w:t>储存物品：洗衣机、干衣机、干衣机支架、促销赠品及家电辅料</w:t>
      </w:r>
      <w:r>
        <w:rPr>
          <w:rFonts w:hint="eastAsia" w:ascii="黑体" w:hAnsi="黑体" w:eastAsia="黑体"/>
        </w:rPr>
        <w:t>。</w:t>
      </w:r>
    </w:p>
    <w:p>
      <w:pPr>
        <w:pStyle w:val="10"/>
        <w:numPr>
          <w:ilvl w:val="0"/>
          <w:numId w:val="6"/>
        </w:numPr>
        <w:spacing w:line="269" w:lineRule="auto"/>
        <w:ind w:firstLineChars="0"/>
        <w:jc w:val="left"/>
        <w:rPr>
          <w:rFonts w:ascii="黑体" w:hAnsi="黑体" w:eastAsia="黑体"/>
          <w:szCs w:val="21"/>
        </w:rPr>
      </w:pPr>
      <w:r>
        <w:rPr>
          <w:rFonts w:hint="eastAsia" w:ascii="黑体" w:hAnsi="黑体" w:eastAsia="黑体"/>
          <w:szCs w:val="21"/>
        </w:rPr>
        <w:t>货物堆码层数：不高于四层。</w:t>
      </w:r>
    </w:p>
    <w:p>
      <w:pPr>
        <w:pStyle w:val="10"/>
        <w:numPr>
          <w:ilvl w:val="0"/>
          <w:numId w:val="6"/>
        </w:numPr>
        <w:spacing w:line="269" w:lineRule="auto"/>
        <w:ind w:firstLineChars="0"/>
        <w:jc w:val="left"/>
        <w:rPr>
          <w:rFonts w:ascii="黑体" w:hAnsi="黑体" w:eastAsia="黑体"/>
          <w:szCs w:val="21"/>
        </w:rPr>
      </w:pPr>
      <w:r>
        <w:rPr>
          <w:rFonts w:hint="eastAsia" w:ascii="黑体" w:hAnsi="黑体" w:eastAsia="黑体"/>
          <w:szCs w:val="21"/>
        </w:rPr>
        <w:t>结算费用</w:t>
      </w:r>
    </w:p>
    <w:p>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rPr>
        <w:t>结算周期：</w:t>
      </w:r>
      <w:r>
        <w:rPr>
          <w:rFonts w:hint="eastAsia" w:ascii="黑体" w:hAnsi="黑体" w:eastAsia="黑体"/>
          <w:szCs w:val="21"/>
          <w:lang w:val="en-US" w:eastAsia="zh-CN"/>
        </w:rPr>
        <w:t>1</w:t>
      </w:r>
      <w:r>
        <w:rPr>
          <w:rFonts w:hint="eastAsia" w:ascii="黑体" w:hAnsi="黑体" w:eastAsia="黑体"/>
          <w:szCs w:val="21"/>
        </w:rPr>
        <w:t>个月</w:t>
      </w:r>
      <w:r>
        <w:rPr>
          <w:rFonts w:hint="eastAsia" w:ascii="黑体" w:hAnsi="黑体" w:eastAsia="黑体"/>
          <w:szCs w:val="21"/>
          <w:lang w:eastAsia="zh-CN"/>
        </w:rPr>
        <w:t>（</w:t>
      </w:r>
      <w:r>
        <w:rPr>
          <w:rFonts w:hint="eastAsia" w:ascii="黑体" w:hAnsi="黑体" w:eastAsia="黑体"/>
          <w:szCs w:val="21"/>
          <w:lang w:val="en-US" w:eastAsia="zh-CN"/>
        </w:rPr>
        <w:t>如5月1日-5月31日的租金，5月27号之前支付完成）</w:t>
      </w:r>
    </w:p>
    <w:p>
      <w:pPr>
        <w:pStyle w:val="10"/>
        <w:numPr>
          <w:ilvl w:val="0"/>
          <w:numId w:val="7"/>
        </w:numPr>
        <w:spacing w:line="269" w:lineRule="auto"/>
        <w:ind w:firstLineChars="0"/>
        <w:jc w:val="left"/>
        <w:rPr>
          <w:rFonts w:ascii="黑体" w:hAnsi="黑体" w:eastAsia="黑体"/>
          <w:szCs w:val="21"/>
          <w:u w:val="single"/>
        </w:rPr>
      </w:pPr>
      <w:r>
        <w:rPr>
          <w:rFonts w:hint="eastAsia" w:ascii="黑体" w:hAnsi="黑体" w:eastAsia="黑体"/>
          <w:szCs w:val="21"/>
          <w:lang w:val="en-US" w:eastAsia="zh-CN"/>
        </w:rPr>
        <w:t>结算周期补充说明：</w:t>
      </w:r>
      <w:r>
        <w:rPr>
          <w:rFonts w:hint="eastAsia" w:ascii="黑体" w:hAnsi="黑体" w:eastAsia="黑体"/>
          <w:szCs w:val="21"/>
          <w:u w:val="single"/>
          <w:lang w:val="en-US" w:eastAsia="zh-CN"/>
        </w:rPr>
        <w:t>（                                            ）</w:t>
      </w:r>
    </w:p>
    <w:p>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rPr>
        <w:t>支付方式：电汇；</w:t>
      </w:r>
    </w:p>
    <w:p>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lang w:val="en-US" w:eastAsia="zh-CN"/>
        </w:rPr>
        <w:t>押金支付：（</w:t>
      </w:r>
      <w:r>
        <w:rPr>
          <w:rFonts w:hint="eastAsia" w:ascii="黑体" w:hAnsi="黑体" w:eastAsia="黑体"/>
          <w:szCs w:val="21"/>
          <w:u w:val="single"/>
          <w:lang w:val="en-US" w:eastAsia="zh-CN"/>
        </w:rPr>
        <w:t xml:space="preserve">                                         </w:t>
      </w:r>
      <w:r>
        <w:rPr>
          <w:rFonts w:hint="eastAsia" w:ascii="黑体" w:hAnsi="黑体" w:eastAsia="黑体"/>
          <w:szCs w:val="21"/>
          <w:lang w:val="en-US" w:eastAsia="zh-CN"/>
        </w:rPr>
        <w:t>）</w:t>
      </w:r>
    </w:p>
    <w:p>
      <w:pPr>
        <w:pStyle w:val="10"/>
        <w:numPr>
          <w:ilvl w:val="0"/>
          <w:numId w:val="6"/>
        </w:numPr>
        <w:spacing w:line="269" w:lineRule="auto"/>
        <w:ind w:firstLineChars="0"/>
        <w:jc w:val="left"/>
        <w:rPr>
          <w:rFonts w:ascii="黑体" w:hAnsi="黑体" w:eastAsia="黑体"/>
          <w:szCs w:val="21"/>
        </w:rPr>
      </w:pPr>
      <w:r>
        <w:rPr>
          <w:rFonts w:hint="eastAsia" w:ascii="黑体" w:hAnsi="黑体" w:eastAsia="黑体"/>
          <w:szCs w:val="21"/>
        </w:rPr>
        <w:t>合同期：</w:t>
      </w:r>
      <w:r>
        <w:rPr>
          <w:rFonts w:ascii="黑体" w:hAnsi="黑体" w:eastAsia="黑体"/>
          <w:szCs w:val="21"/>
        </w:rPr>
        <w:t>12</w:t>
      </w:r>
      <w:r>
        <w:rPr>
          <w:rFonts w:hint="eastAsia" w:ascii="黑体" w:hAnsi="黑体" w:eastAsia="黑体"/>
          <w:szCs w:val="21"/>
        </w:rPr>
        <w:t>个月（202</w:t>
      </w:r>
      <w:r>
        <w:rPr>
          <w:rFonts w:ascii="黑体" w:hAnsi="黑体" w:eastAsia="黑体"/>
          <w:szCs w:val="21"/>
        </w:rPr>
        <w:t>3</w:t>
      </w:r>
      <w:r>
        <w:rPr>
          <w:rFonts w:hint="eastAsia" w:ascii="黑体" w:hAnsi="黑体" w:eastAsia="黑体"/>
          <w:szCs w:val="21"/>
        </w:rPr>
        <w:t>年</w:t>
      </w:r>
      <w:r>
        <w:rPr>
          <w:rFonts w:hint="eastAsia" w:ascii="黑体" w:hAnsi="黑体" w:eastAsia="黑体"/>
          <w:szCs w:val="21"/>
          <w:lang w:val="en-US" w:eastAsia="zh-CN"/>
        </w:rPr>
        <w:t>8</w:t>
      </w:r>
      <w:r>
        <w:rPr>
          <w:rFonts w:hint="eastAsia" w:ascii="黑体" w:hAnsi="黑体" w:eastAsia="黑体"/>
          <w:szCs w:val="21"/>
        </w:rPr>
        <w:t>月</w:t>
      </w:r>
      <w:r>
        <w:rPr>
          <w:rFonts w:ascii="黑体" w:hAnsi="黑体" w:eastAsia="黑体"/>
          <w:szCs w:val="21"/>
        </w:rPr>
        <w:t>1</w:t>
      </w:r>
      <w:r>
        <w:rPr>
          <w:rFonts w:hint="eastAsia" w:ascii="黑体" w:hAnsi="黑体" w:eastAsia="黑体"/>
          <w:szCs w:val="21"/>
        </w:rPr>
        <w:t>日到202</w:t>
      </w:r>
      <w:r>
        <w:rPr>
          <w:rFonts w:ascii="黑体" w:hAnsi="黑体" w:eastAsia="黑体"/>
          <w:szCs w:val="21"/>
        </w:rPr>
        <w:t>4</w:t>
      </w:r>
      <w:r>
        <w:rPr>
          <w:rFonts w:hint="eastAsia" w:ascii="黑体" w:hAnsi="黑体" w:eastAsia="黑体"/>
          <w:szCs w:val="21"/>
        </w:rPr>
        <w:t>年</w:t>
      </w:r>
      <w:r>
        <w:rPr>
          <w:rFonts w:hint="eastAsia" w:ascii="黑体" w:hAnsi="黑体" w:eastAsia="黑体"/>
          <w:szCs w:val="21"/>
          <w:lang w:val="en-US" w:eastAsia="zh-CN"/>
        </w:rPr>
        <w:t>7</w:t>
      </w:r>
      <w:r>
        <w:rPr>
          <w:rFonts w:hint="eastAsia" w:ascii="黑体" w:hAnsi="黑体" w:eastAsia="黑体"/>
          <w:szCs w:val="21"/>
        </w:rPr>
        <w:t>月</w:t>
      </w:r>
      <w:r>
        <w:rPr>
          <w:rFonts w:hint="eastAsia" w:ascii="黑体" w:hAnsi="黑体" w:eastAsia="黑体"/>
          <w:szCs w:val="21"/>
          <w:lang w:val="en-US" w:eastAsia="zh-CN"/>
        </w:rPr>
        <w:t>30</w:t>
      </w:r>
      <w:r>
        <w:rPr>
          <w:rFonts w:hint="eastAsia" w:ascii="黑体" w:hAnsi="黑体" w:eastAsia="黑体"/>
          <w:szCs w:val="21"/>
        </w:rPr>
        <w:t>日），原则上两个合同期内不涨价。</w:t>
      </w:r>
      <w:r>
        <w:rPr>
          <w:rFonts w:hint="eastAsia" w:ascii="黑体" w:hAnsi="黑体" w:eastAsia="黑体"/>
          <w:szCs w:val="21"/>
          <w:lang w:val="en-US" w:eastAsia="zh-CN"/>
        </w:rPr>
        <w:t>补充说明：</w:t>
      </w:r>
      <w:r>
        <w:rPr>
          <w:rFonts w:hint="eastAsia" w:ascii="黑体" w:hAnsi="黑体" w:eastAsia="黑体"/>
          <w:szCs w:val="21"/>
          <w:u w:val="single"/>
          <w:lang w:val="en-US" w:eastAsia="zh-CN"/>
        </w:rPr>
        <w:t>（                               ）</w:t>
      </w:r>
    </w:p>
    <w:p>
      <w:pPr>
        <w:pStyle w:val="10"/>
        <w:numPr>
          <w:ilvl w:val="0"/>
          <w:numId w:val="6"/>
        </w:numPr>
        <w:spacing w:line="269" w:lineRule="auto"/>
        <w:ind w:firstLineChars="0"/>
        <w:jc w:val="left"/>
        <w:rPr>
          <w:rFonts w:ascii="黑体" w:hAnsi="黑体" w:eastAsia="黑体"/>
          <w:szCs w:val="21"/>
        </w:rPr>
      </w:pPr>
      <w:r>
        <w:rPr>
          <w:rFonts w:hint="eastAsia" w:ascii="黑体" w:hAnsi="黑体" w:eastAsia="黑体"/>
          <w:szCs w:val="21"/>
          <w:lang w:val="en-US" w:eastAsia="zh-CN"/>
        </w:rPr>
        <w:t>所有报价含增值税专用发票。</w:t>
      </w:r>
    </w:p>
    <w:p>
      <w:pPr>
        <w:pStyle w:val="10"/>
        <w:numPr>
          <w:ilvl w:val="0"/>
          <w:numId w:val="6"/>
        </w:numPr>
        <w:spacing w:line="269" w:lineRule="auto"/>
        <w:ind w:firstLineChars="0"/>
        <w:jc w:val="left"/>
        <w:rPr>
          <w:rFonts w:ascii="黑体" w:hAnsi="黑体" w:eastAsia="黑体"/>
          <w:szCs w:val="21"/>
        </w:rPr>
      </w:pPr>
      <w:r>
        <w:rPr>
          <w:rFonts w:hint="eastAsia" w:ascii="黑体" w:hAnsi="黑体" w:eastAsia="黑体"/>
          <w:szCs w:val="21"/>
          <w:lang w:val="en-US" w:eastAsia="zh-CN"/>
        </w:rPr>
        <w:t>其他合同条款，按照双方签订的合同为准。</w:t>
      </w:r>
    </w:p>
    <w:p>
      <w:pPr>
        <w:pStyle w:val="10"/>
        <w:widowControl/>
        <w:spacing w:line="269" w:lineRule="auto"/>
        <w:ind w:left="810" w:firstLine="0" w:firstLineChars="0"/>
        <w:jc w:val="left"/>
        <w:rPr>
          <w:rFonts w:ascii="黑体" w:hAnsi="黑体" w:eastAsia="黑体"/>
        </w:rPr>
      </w:pPr>
    </w:p>
    <w:p>
      <w:pPr>
        <w:pStyle w:val="10"/>
        <w:widowControl/>
        <w:spacing w:line="269" w:lineRule="auto"/>
        <w:ind w:left="810" w:firstLine="0" w:firstLineChars="0"/>
        <w:jc w:val="left"/>
        <w:rPr>
          <w:rFonts w:ascii="黑体" w:hAnsi="黑体" w:eastAsia="黑体"/>
        </w:rPr>
      </w:pPr>
    </w:p>
    <w:p>
      <w:pPr>
        <w:pStyle w:val="10"/>
        <w:widowControl/>
        <w:spacing w:line="269" w:lineRule="auto"/>
        <w:ind w:left="810" w:firstLine="0" w:firstLineChars="0"/>
        <w:jc w:val="left"/>
        <w:rPr>
          <w:rFonts w:ascii="黑体" w:hAnsi="黑体" w:eastAsia="黑体"/>
        </w:rPr>
      </w:pPr>
    </w:p>
    <w:p>
      <w:pPr>
        <w:pStyle w:val="10"/>
        <w:widowControl/>
        <w:spacing w:line="269" w:lineRule="auto"/>
        <w:ind w:left="810" w:firstLine="0" w:firstLineChars="0"/>
        <w:jc w:val="left"/>
        <w:rPr>
          <w:rFonts w:ascii="黑体" w:hAnsi="黑体" w:eastAsia="黑体"/>
        </w:rPr>
      </w:pPr>
    </w:p>
    <w:p>
      <w:pPr>
        <w:pStyle w:val="10"/>
        <w:widowControl/>
        <w:spacing w:line="269" w:lineRule="auto"/>
        <w:ind w:left="810" w:firstLine="0" w:firstLineChars="0"/>
        <w:jc w:val="left"/>
        <w:rPr>
          <w:rFonts w:ascii="黑体" w:hAnsi="黑体" w:eastAsia="黑体"/>
        </w:rPr>
      </w:pPr>
    </w:p>
    <w:p>
      <w:pPr>
        <w:pStyle w:val="10"/>
        <w:widowControl/>
        <w:spacing w:line="269" w:lineRule="auto"/>
        <w:ind w:left="810" w:firstLine="0" w:firstLineChars="0"/>
        <w:jc w:val="left"/>
        <w:rPr>
          <w:rFonts w:ascii="黑体" w:hAnsi="黑体" w:eastAsia="黑体"/>
        </w:rPr>
      </w:pPr>
    </w:p>
    <w:p>
      <w:pPr>
        <w:pStyle w:val="10"/>
        <w:widowControl/>
        <w:spacing w:line="269" w:lineRule="auto"/>
        <w:ind w:left="810" w:firstLine="0" w:firstLineChars="0"/>
        <w:jc w:val="left"/>
        <w:rPr>
          <w:rFonts w:ascii="黑体" w:hAnsi="黑体" w:eastAsia="黑体"/>
        </w:rPr>
      </w:pPr>
    </w:p>
    <w:p>
      <w:pPr>
        <w:pStyle w:val="10"/>
        <w:widowControl/>
        <w:spacing w:line="269" w:lineRule="auto"/>
        <w:ind w:left="810" w:firstLine="0" w:firstLineChars="0"/>
        <w:jc w:val="left"/>
        <w:rPr>
          <w:rFonts w:ascii="黑体" w:hAnsi="黑体" w:eastAsia="黑体"/>
        </w:rPr>
      </w:pPr>
    </w:p>
    <w:p>
      <w:pPr>
        <w:pStyle w:val="10"/>
        <w:widowControl/>
        <w:spacing w:line="269" w:lineRule="auto"/>
        <w:ind w:left="0" w:leftChars="0" w:firstLine="0" w:firstLineChars="0"/>
        <w:jc w:val="left"/>
        <w:rPr>
          <w:rFonts w:ascii="黑体" w:hAnsi="黑体" w:eastAsia="黑体"/>
          <w:b/>
          <w:bCs/>
        </w:rPr>
      </w:pPr>
    </w:p>
    <w:p>
      <w:pPr>
        <w:pStyle w:val="10"/>
        <w:widowControl/>
        <w:spacing w:line="269" w:lineRule="auto"/>
        <w:ind w:left="0" w:leftChars="0" w:firstLine="0" w:firstLineChars="0"/>
        <w:jc w:val="left"/>
        <w:rPr>
          <w:rFonts w:ascii="黑体" w:hAnsi="黑体" w:eastAsia="黑体"/>
          <w:b/>
          <w:bCs/>
        </w:rPr>
      </w:pPr>
    </w:p>
    <w:p>
      <w:pPr>
        <w:pStyle w:val="10"/>
        <w:widowControl/>
        <w:spacing w:line="269" w:lineRule="auto"/>
        <w:ind w:left="450" w:firstLine="0" w:firstLineChars="0"/>
        <w:jc w:val="left"/>
        <w:rPr>
          <w:rFonts w:ascii="黑体" w:hAnsi="黑体" w:eastAsia="黑体"/>
          <w:b/>
          <w:bCs/>
        </w:rPr>
      </w:pPr>
    </w:p>
    <w:p>
      <w:pPr>
        <w:pStyle w:val="10"/>
        <w:widowControl/>
        <w:spacing w:line="269" w:lineRule="auto"/>
        <w:ind w:left="0" w:leftChars="0" w:firstLine="0" w:firstLineChars="0"/>
        <w:jc w:val="left"/>
        <w:rPr>
          <w:rFonts w:ascii="黑体" w:hAnsi="黑体" w:eastAsia="黑体"/>
          <w:b/>
          <w:bCs/>
        </w:rPr>
      </w:pPr>
    </w:p>
    <w:p>
      <w:pPr>
        <w:spacing w:line="269" w:lineRule="auto"/>
        <w:jc w:val="center"/>
        <w:rPr>
          <w:rFonts w:hint="eastAsia" w:ascii="黑体" w:hAnsi="黑体" w:eastAsia="黑体"/>
          <w:sz w:val="36"/>
          <w:szCs w:val="32"/>
        </w:rPr>
      </w:pPr>
    </w:p>
    <w:p>
      <w:pPr>
        <w:spacing w:line="269" w:lineRule="auto"/>
        <w:jc w:val="center"/>
        <w:rPr>
          <w:rFonts w:ascii="黑体" w:hAnsi="黑体" w:eastAsia="黑体"/>
          <w:sz w:val="36"/>
          <w:szCs w:val="32"/>
        </w:rPr>
      </w:pPr>
      <w:r>
        <w:rPr>
          <w:rFonts w:hint="eastAsia" w:ascii="黑体" w:hAnsi="黑体" w:eastAsia="黑体"/>
          <w:sz w:val="36"/>
          <w:szCs w:val="32"/>
        </w:rPr>
        <w:t>承 诺 书</w:t>
      </w:r>
    </w:p>
    <w:p>
      <w:pPr>
        <w:spacing w:line="269" w:lineRule="auto"/>
        <w:ind w:firstLine="420"/>
        <w:jc w:val="left"/>
        <w:rPr>
          <w:rFonts w:ascii="黑体" w:hAnsi="黑体" w:eastAsia="黑体"/>
          <w:b/>
          <w:szCs w:val="21"/>
          <w:u w:val="single"/>
        </w:rPr>
      </w:pPr>
      <w:r>
        <w:rPr>
          <w:rFonts w:hint="eastAsia" w:ascii="黑体" w:hAnsi="黑体" w:eastAsia="黑体"/>
          <w:szCs w:val="21"/>
        </w:rPr>
        <w:t>致：</w:t>
      </w:r>
      <w:r>
        <w:rPr>
          <w:rFonts w:hint="eastAsia" w:ascii="黑体" w:hAnsi="黑体" w:eastAsia="黑体"/>
          <w:b/>
          <w:szCs w:val="21"/>
          <w:u w:val="single"/>
        </w:rPr>
        <w:t>广州金松电器营销有限公司</w:t>
      </w:r>
    </w:p>
    <w:p>
      <w:pPr>
        <w:spacing w:line="269" w:lineRule="auto"/>
        <w:ind w:firstLine="420"/>
        <w:jc w:val="left"/>
        <w:rPr>
          <w:rFonts w:ascii="黑体" w:hAnsi="黑体" w:eastAsia="黑体"/>
          <w:szCs w:val="21"/>
        </w:rPr>
      </w:pPr>
      <w:r>
        <w:rPr>
          <w:rFonts w:hint="eastAsia" w:ascii="黑体" w:hAnsi="黑体" w:eastAsia="黑体"/>
          <w:szCs w:val="21"/>
        </w:rPr>
        <w:t>我公司</w:t>
      </w:r>
      <w:r>
        <w:rPr>
          <w:rFonts w:ascii="黑体" w:hAnsi="黑体" w:eastAsia="黑体"/>
          <w:szCs w:val="21"/>
        </w:rPr>
        <w:t>：</w:t>
      </w:r>
      <w:r>
        <w:rPr>
          <w:rFonts w:hint="eastAsia" w:ascii="黑体" w:hAnsi="黑体" w:eastAsia="黑体"/>
          <w:b/>
          <w:szCs w:val="21"/>
          <w:u w:val="single"/>
        </w:rPr>
        <w:t xml:space="preserve">           </w:t>
      </w:r>
      <w:r>
        <w:rPr>
          <w:rFonts w:ascii="黑体" w:hAnsi="黑体" w:eastAsia="黑体"/>
          <w:b/>
          <w:szCs w:val="21"/>
          <w:u w:val="single"/>
        </w:rPr>
        <w:t xml:space="preserve">       </w:t>
      </w:r>
      <w:r>
        <w:rPr>
          <w:rFonts w:hint="eastAsia" w:ascii="黑体" w:hAnsi="黑体" w:eastAsia="黑体"/>
          <w:b/>
          <w:szCs w:val="21"/>
          <w:u w:val="single"/>
        </w:rPr>
        <w:t xml:space="preserve">         </w:t>
      </w:r>
      <w:r>
        <w:rPr>
          <w:rFonts w:hint="eastAsia" w:ascii="黑体" w:hAnsi="黑体" w:eastAsia="黑体"/>
          <w:szCs w:val="21"/>
        </w:rPr>
        <w:t>，</w:t>
      </w:r>
      <w:r>
        <w:rPr>
          <w:rFonts w:ascii="黑体" w:hAnsi="黑体" w:eastAsia="黑体"/>
          <w:szCs w:val="21"/>
        </w:rPr>
        <w:t>对贵公司</w:t>
      </w:r>
      <w:r>
        <w:rPr>
          <w:rFonts w:hint="eastAsia" w:ascii="黑体" w:hAnsi="黑体" w:eastAsia="黑体"/>
          <w:szCs w:val="21"/>
          <w:u w:val="single"/>
          <w:lang w:val="en-US" w:eastAsia="zh-CN"/>
        </w:rPr>
        <w:t>佛山</w:t>
      </w:r>
      <w:r>
        <w:rPr>
          <w:rFonts w:hint="eastAsia" w:ascii="黑体" w:hAnsi="黑体" w:eastAsia="黑体"/>
          <w:szCs w:val="21"/>
          <w:u w:val="single"/>
        </w:rPr>
        <w:t>仓储招标</w:t>
      </w:r>
      <w:r>
        <w:rPr>
          <w:rFonts w:ascii="黑体" w:hAnsi="黑体" w:eastAsia="黑体"/>
          <w:szCs w:val="21"/>
          <w:u w:val="single"/>
        </w:rPr>
        <w:t>项目</w:t>
      </w:r>
      <w:r>
        <w:rPr>
          <w:rFonts w:ascii="黑体" w:hAnsi="黑体" w:eastAsia="黑体"/>
          <w:szCs w:val="21"/>
        </w:rPr>
        <w:t>，</w:t>
      </w:r>
      <w:r>
        <w:rPr>
          <w:rFonts w:hint="eastAsia" w:ascii="黑体" w:hAnsi="黑体" w:eastAsia="黑体"/>
          <w:szCs w:val="21"/>
        </w:rPr>
        <w:t>有关投标日程、投标人须知、投标内容及约定条件、评标标准及授标说明</w:t>
      </w:r>
      <w:r>
        <w:rPr>
          <w:rFonts w:ascii="黑体" w:hAnsi="黑体" w:eastAsia="黑体"/>
          <w:szCs w:val="21"/>
        </w:rPr>
        <w:t>中涉及的条款</w:t>
      </w:r>
      <w:r>
        <w:rPr>
          <w:rFonts w:hint="eastAsia" w:ascii="黑体" w:hAnsi="黑体" w:eastAsia="黑体"/>
          <w:szCs w:val="21"/>
        </w:rPr>
        <w:t>等实质性内容完全响应，并积极</w:t>
      </w:r>
      <w:r>
        <w:rPr>
          <w:rFonts w:ascii="黑体" w:hAnsi="黑体" w:eastAsia="黑体"/>
          <w:szCs w:val="21"/>
        </w:rPr>
        <w:t>参与贵公司进行的招标活动</w:t>
      </w:r>
      <w:r>
        <w:rPr>
          <w:rFonts w:hint="eastAsia" w:ascii="黑体" w:hAnsi="黑体" w:eastAsia="黑体"/>
          <w:szCs w:val="21"/>
        </w:rPr>
        <w:t>，</w:t>
      </w:r>
      <w:r>
        <w:rPr>
          <w:rFonts w:ascii="黑体" w:hAnsi="黑体" w:eastAsia="黑体"/>
          <w:szCs w:val="21"/>
        </w:rPr>
        <w:t>并对本次招标作出以下承诺：</w:t>
      </w:r>
    </w:p>
    <w:p>
      <w:pPr>
        <w:pStyle w:val="10"/>
        <w:numPr>
          <w:ilvl w:val="0"/>
          <w:numId w:val="8"/>
        </w:numPr>
        <w:spacing w:line="269" w:lineRule="auto"/>
        <w:ind w:firstLineChars="0"/>
        <w:jc w:val="left"/>
        <w:rPr>
          <w:rFonts w:ascii="黑体" w:hAnsi="黑体" w:eastAsia="黑体"/>
          <w:szCs w:val="21"/>
        </w:rPr>
      </w:pPr>
      <w:r>
        <w:rPr>
          <w:rFonts w:hint="eastAsia" w:ascii="黑体" w:hAnsi="黑体" w:eastAsia="黑体"/>
          <w:szCs w:val="21"/>
        </w:rPr>
        <w:t>严格</w:t>
      </w:r>
      <w:r>
        <w:rPr>
          <w:rFonts w:ascii="黑体" w:hAnsi="黑体" w:eastAsia="黑体"/>
          <w:szCs w:val="21"/>
        </w:rPr>
        <w:t>按贵公司提出的日程安排进行相关投标事项，</w:t>
      </w:r>
      <w:r>
        <w:rPr>
          <w:rFonts w:hint="eastAsia" w:ascii="黑体" w:hAnsi="黑体" w:eastAsia="黑体"/>
          <w:szCs w:val="21"/>
        </w:rPr>
        <w:t>根据</w:t>
      </w:r>
      <w:r>
        <w:rPr>
          <w:rFonts w:ascii="黑体" w:hAnsi="黑体" w:eastAsia="黑体"/>
          <w:szCs w:val="21"/>
        </w:rPr>
        <w:t>我公司实际情况填写相关数据，</w:t>
      </w:r>
      <w:r>
        <w:rPr>
          <w:rFonts w:hint="eastAsia" w:ascii="黑体" w:hAnsi="黑体" w:eastAsia="黑体"/>
          <w:szCs w:val="21"/>
        </w:rPr>
        <w:t>保证项目的实用性</w:t>
      </w:r>
      <w:r>
        <w:rPr>
          <w:rFonts w:ascii="黑体" w:hAnsi="黑体" w:eastAsia="黑体"/>
          <w:szCs w:val="21"/>
        </w:rPr>
        <w:t>、</w:t>
      </w:r>
      <w:r>
        <w:rPr>
          <w:rFonts w:hint="eastAsia" w:ascii="黑体" w:hAnsi="黑体" w:eastAsia="黑体"/>
          <w:szCs w:val="21"/>
        </w:rPr>
        <w:t>经济性、可实施性并</w:t>
      </w:r>
      <w:r>
        <w:rPr>
          <w:rFonts w:ascii="黑体" w:hAnsi="黑体" w:eastAsia="黑体"/>
          <w:szCs w:val="21"/>
        </w:rPr>
        <w:t>认真安排投标工作；</w:t>
      </w:r>
    </w:p>
    <w:p>
      <w:pPr>
        <w:pStyle w:val="10"/>
        <w:numPr>
          <w:ilvl w:val="0"/>
          <w:numId w:val="8"/>
        </w:numPr>
        <w:spacing w:line="269" w:lineRule="auto"/>
        <w:ind w:firstLineChars="0"/>
        <w:jc w:val="left"/>
        <w:rPr>
          <w:rFonts w:ascii="黑体" w:hAnsi="黑体" w:eastAsia="黑体"/>
          <w:szCs w:val="21"/>
        </w:rPr>
      </w:pPr>
      <w:r>
        <w:rPr>
          <w:rFonts w:hint="eastAsia" w:ascii="黑体" w:hAnsi="黑体" w:eastAsia="黑体"/>
          <w:szCs w:val="21"/>
        </w:rPr>
        <w:t>保证</w:t>
      </w:r>
      <w:r>
        <w:rPr>
          <w:rFonts w:ascii="黑体" w:hAnsi="黑体" w:eastAsia="黑体"/>
          <w:szCs w:val="21"/>
        </w:rPr>
        <w:t>投标过程的</w:t>
      </w:r>
      <w:r>
        <w:rPr>
          <w:rFonts w:hint="eastAsia" w:ascii="黑体" w:hAnsi="黑体" w:eastAsia="黑体"/>
          <w:szCs w:val="21"/>
        </w:rPr>
        <w:t>真实性</w:t>
      </w:r>
      <w:r>
        <w:rPr>
          <w:rFonts w:ascii="黑体" w:hAnsi="黑体" w:eastAsia="黑体"/>
          <w:szCs w:val="21"/>
        </w:rPr>
        <w:t>，</w:t>
      </w:r>
      <w:r>
        <w:rPr>
          <w:rFonts w:hint="eastAsia" w:ascii="黑体" w:hAnsi="黑体" w:eastAsia="黑体"/>
          <w:szCs w:val="21"/>
        </w:rPr>
        <w:t>若</w:t>
      </w:r>
      <w:r>
        <w:rPr>
          <w:rFonts w:ascii="黑体" w:hAnsi="黑体" w:eastAsia="黑体"/>
          <w:szCs w:val="21"/>
        </w:rPr>
        <w:t>评标过程中</w:t>
      </w:r>
      <w:r>
        <w:rPr>
          <w:rFonts w:hint="eastAsia" w:ascii="黑体" w:hAnsi="黑体" w:eastAsia="黑体"/>
          <w:szCs w:val="21"/>
        </w:rPr>
        <w:t>经</w:t>
      </w:r>
      <w:r>
        <w:rPr>
          <w:rFonts w:ascii="黑体" w:hAnsi="黑体" w:eastAsia="黑体"/>
          <w:szCs w:val="21"/>
        </w:rPr>
        <w:t>查存在虚假，</w:t>
      </w:r>
      <w:r>
        <w:rPr>
          <w:rFonts w:hint="eastAsia" w:ascii="黑体" w:hAnsi="黑体" w:eastAsia="黑体"/>
          <w:szCs w:val="21"/>
        </w:rPr>
        <w:t>同意</w:t>
      </w:r>
      <w:r>
        <w:rPr>
          <w:rFonts w:ascii="黑体" w:hAnsi="黑体" w:eastAsia="黑体"/>
          <w:szCs w:val="21"/>
        </w:rPr>
        <w:t>将本次投标视为</w:t>
      </w:r>
      <w:r>
        <w:rPr>
          <w:rFonts w:hint="eastAsia" w:ascii="黑体" w:hAnsi="黑体" w:eastAsia="黑体"/>
          <w:szCs w:val="21"/>
        </w:rPr>
        <w:t>无效投标</w:t>
      </w:r>
      <w:r>
        <w:rPr>
          <w:rFonts w:ascii="黑体" w:hAnsi="黑体" w:eastAsia="黑体"/>
          <w:szCs w:val="21"/>
        </w:rPr>
        <w:t>文件处理，并没收投标保证金；</w:t>
      </w:r>
      <w:r>
        <w:rPr>
          <w:rFonts w:hint="eastAsia" w:ascii="黑体" w:hAnsi="黑体" w:eastAsia="黑体"/>
          <w:szCs w:val="21"/>
        </w:rPr>
        <w:t>若</w:t>
      </w:r>
      <w:r>
        <w:rPr>
          <w:rFonts w:ascii="黑体" w:hAnsi="黑体" w:eastAsia="黑体"/>
          <w:szCs w:val="21"/>
        </w:rPr>
        <w:t>中标之后经</w:t>
      </w:r>
      <w:r>
        <w:rPr>
          <w:rFonts w:hint="eastAsia" w:ascii="黑体" w:hAnsi="黑体" w:eastAsia="黑体"/>
          <w:szCs w:val="21"/>
        </w:rPr>
        <w:t>查</w:t>
      </w:r>
      <w:r>
        <w:rPr>
          <w:rFonts w:ascii="黑体" w:hAnsi="黑体" w:eastAsia="黑体"/>
          <w:szCs w:val="21"/>
        </w:rPr>
        <w:t>存在虚假，</w:t>
      </w:r>
      <w:r>
        <w:rPr>
          <w:rFonts w:hint="eastAsia" w:ascii="黑体" w:hAnsi="黑体" w:eastAsia="黑体"/>
          <w:szCs w:val="21"/>
        </w:rPr>
        <w:t>同意</w:t>
      </w:r>
      <w:r>
        <w:rPr>
          <w:rFonts w:ascii="黑体" w:hAnsi="黑体" w:eastAsia="黑体"/>
          <w:szCs w:val="21"/>
        </w:rPr>
        <w:t>被废除中标资格，并</w:t>
      </w:r>
      <w:r>
        <w:rPr>
          <w:rFonts w:hint="eastAsia" w:ascii="黑体" w:hAnsi="黑体" w:eastAsia="黑体"/>
          <w:szCs w:val="21"/>
        </w:rPr>
        <w:t>自动放弃</w:t>
      </w:r>
      <w:r>
        <w:rPr>
          <w:rFonts w:ascii="黑体" w:hAnsi="黑体" w:eastAsia="黑体"/>
          <w:szCs w:val="21"/>
        </w:rPr>
        <w:t>履约保证金</w:t>
      </w:r>
      <w:r>
        <w:rPr>
          <w:rFonts w:hint="eastAsia" w:ascii="黑体" w:hAnsi="黑体" w:eastAsia="黑体"/>
          <w:szCs w:val="21"/>
        </w:rPr>
        <w:t>的回收</w:t>
      </w:r>
      <w:r>
        <w:rPr>
          <w:rFonts w:ascii="黑体" w:hAnsi="黑体" w:eastAsia="黑体"/>
          <w:szCs w:val="21"/>
        </w:rPr>
        <w:t>；</w:t>
      </w:r>
    </w:p>
    <w:p>
      <w:pPr>
        <w:pStyle w:val="10"/>
        <w:numPr>
          <w:ilvl w:val="0"/>
          <w:numId w:val="8"/>
        </w:numPr>
        <w:spacing w:line="269" w:lineRule="auto"/>
        <w:ind w:firstLineChars="0"/>
        <w:jc w:val="left"/>
        <w:rPr>
          <w:rFonts w:ascii="黑体" w:hAnsi="黑体" w:eastAsia="黑体"/>
          <w:szCs w:val="21"/>
        </w:rPr>
      </w:pPr>
      <w:r>
        <w:rPr>
          <w:rFonts w:hint="eastAsia" w:ascii="黑体" w:hAnsi="黑体" w:eastAsia="黑体"/>
          <w:szCs w:val="21"/>
        </w:rPr>
        <w:t>贵公司</w:t>
      </w:r>
      <w:r>
        <w:rPr>
          <w:rFonts w:ascii="黑体" w:hAnsi="黑体" w:eastAsia="黑体"/>
          <w:szCs w:val="21"/>
        </w:rPr>
        <w:t>有权到我公司进行实地考察</w:t>
      </w:r>
      <w:r>
        <w:rPr>
          <w:rFonts w:hint="eastAsia" w:ascii="黑体" w:hAnsi="黑体" w:eastAsia="黑体"/>
          <w:szCs w:val="21"/>
        </w:rPr>
        <w:t>。</w:t>
      </w:r>
      <w:r>
        <w:rPr>
          <w:rFonts w:ascii="黑体" w:hAnsi="黑体" w:eastAsia="黑体"/>
          <w:szCs w:val="21"/>
        </w:rPr>
        <w:t>我</w:t>
      </w:r>
      <w:r>
        <w:rPr>
          <w:rFonts w:hint="eastAsia" w:ascii="黑体" w:hAnsi="黑体" w:eastAsia="黑体"/>
          <w:szCs w:val="21"/>
        </w:rPr>
        <w:t>公司</w:t>
      </w:r>
      <w:r>
        <w:rPr>
          <w:rFonts w:ascii="黑体" w:hAnsi="黑体" w:eastAsia="黑体"/>
          <w:szCs w:val="21"/>
        </w:rPr>
        <w:t>承诺提供</w:t>
      </w:r>
      <w:r>
        <w:rPr>
          <w:rFonts w:hint="eastAsia" w:ascii="黑体" w:hAnsi="黑体" w:eastAsia="黑体"/>
          <w:szCs w:val="21"/>
        </w:rPr>
        <w:t>的</w:t>
      </w:r>
      <w:r>
        <w:rPr>
          <w:rFonts w:ascii="黑体" w:hAnsi="黑体" w:eastAsia="黑体"/>
          <w:szCs w:val="21"/>
        </w:rPr>
        <w:t>资料的真实性，</w:t>
      </w:r>
      <w:r>
        <w:rPr>
          <w:rFonts w:hint="eastAsia" w:ascii="黑体" w:hAnsi="黑体" w:eastAsia="黑体"/>
          <w:szCs w:val="21"/>
        </w:rPr>
        <w:t>同时</w:t>
      </w:r>
      <w:r>
        <w:rPr>
          <w:rFonts w:ascii="黑体" w:hAnsi="黑体" w:eastAsia="黑体"/>
          <w:szCs w:val="21"/>
        </w:rPr>
        <w:t>保证不与</w:t>
      </w:r>
      <w:r>
        <w:rPr>
          <w:rFonts w:hint="eastAsia" w:ascii="黑体" w:hAnsi="黑体" w:eastAsia="黑体"/>
          <w:szCs w:val="21"/>
        </w:rPr>
        <w:t>其他投标者</w:t>
      </w:r>
      <w:r>
        <w:rPr>
          <w:rFonts w:ascii="黑体" w:hAnsi="黑体" w:eastAsia="黑体"/>
          <w:szCs w:val="21"/>
        </w:rPr>
        <w:t>进行本次投标内容相关的任何信息沟通，</w:t>
      </w:r>
      <w:r>
        <w:rPr>
          <w:rFonts w:hint="eastAsia" w:ascii="黑体" w:hAnsi="黑体" w:eastAsia="黑体"/>
          <w:szCs w:val="21"/>
        </w:rPr>
        <w:t>若经查投标</w:t>
      </w:r>
      <w:r>
        <w:rPr>
          <w:rFonts w:ascii="黑体" w:hAnsi="黑体" w:eastAsia="黑体"/>
          <w:szCs w:val="21"/>
        </w:rPr>
        <w:t>过程中</w:t>
      </w:r>
      <w:r>
        <w:rPr>
          <w:rFonts w:hint="eastAsia" w:ascii="黑体" w:hAnsi="黑体" w:eastAsia="黑体"/>
          <w:szCs w:val="21"/>
        </w:rPr>
        <w:t>或</w:t>
      </w:r>
      <w:r>
        <w:rPr>
          <w:rFonts w:ascii="黑体" w:hAnsi="黑体" w:eastAsia="黑体"/>
          <w:szCs w:val="21"/>
        </w:rPr>
        <w:t>中标之后经查存在</w:t>
      </w:r>
      <w:r>
        <w:rPr>
          <w:rFonts w:hint="eastAsia" w:ascii="黑体" w:hAnsi="黑体" w:eastAsia="黑体"/>
          <w:szCs w:val="21"/>
        </w:rPr>
        <w:t>相关</w:t>
      </w:r>
      <w:r>
        <w:rPr>
          <w:rFonts w:ascii="黑体" w:hAnsi="黑体" w:eastAsia="黑体"/>
          <w:szCs w:val="21"/>
        </w:rPr>
        <w:t>信息的沟通</w:t>
      </w:r>
      <w:r>
        <w:rPr>
          <w:rFonts w:hint="eastAsia" w:ascii="黑体" w:hAnsi="黑体" w:eastAsia="黑体"/>
          <w:szCs w:val="21"/>
        </w:rPr>
        <w:t>或</w:t>
      </w:r>
      <w:r>
        <w:rPr>
          <w:rFonts w:ascii="黑体" w:hAnsi="黑体" w:eastAsia="黑体"/>
          <w:szCs w:val="21"/>
        </w:rPr>
        <w:t>串标行为，我公司同意贵公司提出的：</w:t>
      </w:r>
      <w:r>
        <w:rPr>
          <w:rFonts w:hint="eastAsia" w:ascii="黑体" w:hAnsi="黑体" w:eastAsia="黑体"/>
          <w:b/>
          <w:szCs w:val="21"/>
          <w:u w:val="single"/>
        </w:rPr>
        <w:t>①退出</w:t>
      </w:r>
      <w:r>
        <w:rPr>
          <w:rFonts w:ascii="黑体" w:hAnsi="黑体" w:eastAsia="黑体"/>
          <w:b/>
          <w:szCs w:val="21"/>
          <w:u w:val="single"/>
        </w:rPr>
        <w:t>本次招标</w:t>
      </w:r>
      <w:r>
        <w:rPr>
          <w:rFonts w:hint="eastAsia" w:ascii="黑体" w:hAnsi="黑体" w:eastAsia="黑体"/>
          <w:b/>
          <w:szCs w:val="21"/>
          <w:u w:val="single"/>
        </w:rPr>
        <w:t>，并赔偿</w:t>
      </w:r>
      <w:r>
        <w:rPr>
          <w:rFonts w:hint="eastAsia" w:ascii="黑体" w:hAnsi="黑体" w:eastAsia="黑体"/>
          <w:b/>
          <w:szCs w:val="21"/>
          <w:u w:val="single"/>
          <w:lang w:val="en-US" w:eastAsia="zh-CN"/>
        </w:rPr>
        <w:t>贰</w:t>
      </w:r>
      <w:r>
        <w:rPr>
          <w:rFonts w:hint="eastAsia" w:ascii="黑体" w:hAnsi="黑体" w:eastAsia="黑体"/>
          <w:b/>
          <w:szCs w:val="21"/>
          <w:u w:val="single"/>
        </w:rPr>
        <w:t>万元整</w:t>
      </w:r>
      <w:r>
        <w:rPr>
          <w:rFonts w:ascii="黑体" w:hAnsi="黑体" w:eastAsia="黑体"/>
          <w:b/>
          <w:szCs w:val="21"/>
          <w:u w:val="single"/>
        </w:rPr>
        <w:t>；</w:t>
      </w:r>
      <w:r>
        <w:rPr>
          <w:rFonts w:hint="eastAsia" w:ascii="黑体" w:hAnsi="黑体" w:eastAsia="黑体"/>
          <w:b/>
          <w:szCs w:val="21"/>
          <w:u w:val="single"/>
        </w:rPr>
        <w:t>②取消仓储业务</w:t>
      </w:r>
      <w:r>
        <w:rPr>
          <w:rFonts w:ascii="黑体" w:hAnsi="黑体" w:eastAsia="黑体"/>
          <w:b/>
          <w:szCs w:val="21"/>
          <w:u w:val="single"/>
        </w:rPr>
        <w:t>供应商资</w:t>
      </w:r>
      <w:r>
        <w:rPr>
          <w:rFonts w:hint="eastAsia" w:ascii="黑体" w:hAnsi="黑体" w:eastAsia="黑体"/>
          <w:b/>
          <w:szCs w:val="21"/>
          <w:u w:val="single"/>
        </w:rPr>
        <w:t>格</w:t>
      </w:r>
      <w:r>
        <w:rPr>
          <w:rFonts w:ascii="黑体" w:hAnsi="黑体" w:eastAsia="黑体"/>
          <w:b/>
          <w:szCs w:val="21"/>
          <w:u w:val="single"/>
        </w:rPr>
        <w:t>，不再被邀</w:t>
      </w:r>
      <w:r>
        <w:rPr>
          <w:rFonts w:hint="eastAsia" w:ascii="黑体" w:hAnsi="黑体" w:eastAsia="黑体"/>
          <w:b/>
          <w:szCs w:val="21"/>
          <w:u w:val="single"/>
        </w:rPr>
        <w:t>参与</w:t>
      </w:r>
      <w:r>
        <w:rPr>
          <w:rFonts w:ascii="黑体" w:hAnsi="黑体" w:eastAsia="黑体"/>
          <w:b/>
          <w:szCs w:val="21"/>
          <w:u w:val="single"/>
        </w:rPr>
        <w:t>投标活动</w:t>
      </w:r>
      <w:r>
        <w:rPr>
          <w:rFonts w:hint="eastAsia" w:ascii="黑体" w:hAnsi="黑体" w:eastAsia="黑体"/>
          <w:szCs w:val="21"/>
        </w:rPr>
        <w:t>；</w:t>
      </w:r>
    </w:p>
    <w:p>
      <w:pPr>
        <w:pStyle w:val="10"/>
        <w:numPr>
          <w:ilvl w:val="0"/>
          <w:numId w:val="8"/>
        </w:numPr>
        <w:spacing w:line="269" w:lineRule="auto"/>
        <w:ind w:firstLineChars="0"/>
        <w:jc w:val="left"/>
        <w:rPr>
          <w:rFonts w:ascii="黑体" w:hAnsi="黑体" w:eastAsia="黑体"/>
          <w:szCs w:val="21"/>
        </w:rPr>
      </w:pPr>
      <w:r>
        <w:rPr>
          <w:rFonts w:hint="eastAsia" w:ascii="黑体" w:hAnsi="黑体" w:eastAsia="黑体"/>
          <w:szCs w:val="21"/>
        </w:rPr>
        <w:t>我公司</w:t>
      </w:r>
      <w:r>
        <w:rPr>
          <w:rFonts w:ascii="黑体" w:hAnsi="黑体" w:eastAsia="黑体"/>
          <w:szCs w:val="21"/>
        </w:rPr>
        <w:t>承诺</w:t>
      </w:r>
      <w:r>
        <w:rPr>
          <w:rFonts w:hint="eastAsia" w:ascii="黑体" w:hAnsi="黑体" w:eastAsia="黑体"/>
          <w:szCs w:val="21"/>
        </w:rPr>
        <w:t>《投标报价单》</w:t>
      </w:r>
      <w:r>
        <w:rPr>
          <w:rFonts w:ascii="黑体" w:hAnsi="黑体" w:eastAsia="黑体"/>
          <w:szCs w:val="21"/>
        </w:rPr>
        <w:t>的价格不存在低于成本的恶意报价行为</w:t>
      </w:r>
      <w:r>
        <w:rPr>
          <w:rFonts w:hint="eastAsia" w:ascii="黑体" w:hAnsi="黑体" w:eastAsia="黑体"/>
          <w:szCs w:val="21"/>
        </w:rPr>
        <w:t>。若</w:t>
      </w:r>
      <w:r>
        <w:rPr>
          <w:rFonts w:ascii="黑体" w:hAnsi="黑体" w:eastAsia="黑体"/>
          <w:szCs w:val="21"/>
        </w:rPr>
        <w:t>我公司中标，将严格</w:t>
      </w:r>
      <w:r>
        <w:rPr>
          <w:rFonts w:hint="eastAsia" w:ascii="黑体" w:hAnsi="黑体" w:eastAsia="黑体"/>
          <w:szCs w:val="21"/>
        </w:rPr>
        <w:t>按照</w:t>
      </w:r>
      <w:r>
        <w:rPr>
          <w:rFonts w:ascii="黑体" w:hAnsi="黑体" w:eastAsia="黑体"/>
          <w:szCs w:val="21"/>
        </w:rPr>
        <w:t>报价</w:t>
      </w:r>
      <w:r>
        <w:rPr>
          <w:rFonts w:hint="eastAsia" w:ascii="黑体" w:hAnsi="黑体" w:eastAsia="黑体"/>
          <w:szCs w:val="21"/>
        </w:rPr>
        <w:t>执行</w:t>
      </w:r>
      <w:r>
        <w:rPr>
          <w:rFonts w:ascii="黑体" w:hAnsi="黑体" w:eastAsia="黑体"/>
          <w:szCs w:val="21"/>
        </w:rPr>
        <w:t>，如不执行将按贵公司要求</w:t>
      </w:r>
      <w:r>
        <w:rPr>
          <w:rFonts w:hint="eastAsia" w:ascii="黑体" w:hAnsi="黑体" w:eastAsia="黑体"/>
          <w:szCs w:val="21"/>
        </w:rPr>
        <w:t>执行</w:t>
      </w:r>
      <w:r>
        <w:rPr>
          <w:rFonts w:ascii="黑体" w:hAnsi="黑体" w:eastAsia="黑体"/>
          <w:szCs w:val="21"/>
        </w:rPr>
        <w:t>：</w:t>
      </w:r>
      <w:r>
        <w:rPr>
          <w:rFonts w:hint="eastAsia" w:ascii="黑体" w:hAnsi="黑体" w:eastAsia="黑体"/>
          <w:b/>
          <w:szCs w:val="21"/>
          <w:u w:val="single"/>
        </w:rPr>
        <w:t>①退出</w:t>
      </w:r>
      <w:r>
        <w:rPr>
          <w:rFonts w:ascii="黑体" w:hAnsi="黑体" w:eastAsia="黑体"/>
          <w:b/>
          <w:szCs w:val="21"/>
          <w:u w:val="single"/>
        </w:rPr>
        <w:t>本次招标</w:t>
      </w:r>
      <w:r>
        <w:rPr>
          <w:rFonts w:hint="eastAsia" w:ascii="黑体" w:hAnsi="黑体" w:eastAsia="黑体"/>
          <w:b/>
          <w:szCs w:val="21"/>
          <w:u w:val="single"/>
        </w:rPr>
        <w:t>，并赔偿</w:t>
      </w:r>
      <w:r>
        <w:rPr>
          <w:rFonts w:hint="eastAsia" w:ascii="黑体" w:hAnsi="黑体" w:eastAsia="黑体"/>
          <w:b/>
          <w:szCs w:val="21"/>
          <w:u w:val="single"/>
          <w:lang w:val="en-US" w:eastAsia="zh-CN"/>
        </w:rPr>
        <w:t>贰</w:t>
      </w:r>
      <w:r>
        <w:rPr>
          <w:rFonts w:hint="eastAsia" w:ascii="黑体" w:hAnsi="黑体" w:eastAsia="黑体"/>
          <w:b/>
          <w:szCs w:val="21"/>
          <w:u w:val="single"/>
        </w:rPr>
        <w:t>万元整</w:t>
      </w:r>
      <w:r>
        <w:rPr>
          <w:rFonts w:ascii="黑体" w:hAnsi="黑体" w:eastAsia="黑体"/>
          <w:b/>
          <w:szCs w:val="21"/>
          <w:u w:val="single"/>
        </w:rPr>
        <w:t>；</w:t>
      </w:r>
      <w:r>
        <w:rPr>
          <w:rFonts w:hint="eastAsia" w:ascii="黑体" w:hAnsi="黑体" w:eastAsia="黑体"/>
          <w:b/>
          <w:szCs w:val="21"/>
          <w:u w:val="single"/>
        </w:rPr>
        <w:t>②取消物流业务</w:t>
      </w:r>
      <w:r>
        <w:rPr>
          <w:rFonts w:ascii="黑体" w:hAnsi="黑体" w:eastAsia="黑体"/>
          <w:b/>
          <w:szCs w:val="21"/>
          <w:u w:val="single"/>
        </w:rPr>
        <w:t>供应商资</w:t>
      </w:r>
      <w:r>
        <w:rPr>
          <w:rFonts w:hint="eastAsia" w:ascii="黑体" w:hAnsi="黑体" w:eastAsia="黑体"/>
          <w:b/>
          <w:szCs w:val="21"/>
          <w:u w:val="single"/>
        </w:rPr>
        <w:t>格</w:t>
      </w:r>
      <w:r>
        <w:rPr>
          <w:rFonts w:ascii="黑体" w:hAnsi="黑体" w:eastAsia="黑体"/>
          <w:b/>
          <w:szCs w:val="21"/>
          <w:u w:val="single"/>
        </w:rPr>
        <w:t>，不再被邀</w:t>
      </w:r>
      <w:r>
        <w:rPr>
          <w:rFonts w:hint="eastAsia" w:ascii="黑体" w:hAnsi="黑体" w:eastAsia="黑体"/>
          <w:b/>
          <w:szCs w:val="21"/>
          <w:u w:val="single"/>
        </w:rPr>
        <w:t>参与</w:t>
      </w:r>
      <w:r>
        <w:rPr>
          <w:rFonts w:ascii="黑体" w:hAnsi="黑体" w:eastAsia="黑体"/>
          <w:b/>
          <w:szCs w:val="21"/>
          <w:u w:val="single"/>
        </w:rPr>
        <w:t>投标活动</w:t>
      </w:r>
      <w:r>
        <w:rPr>
          <w:rFonts w:hint="eastAsia" w:ascii="黑体" w:hAnsi="黑体" w:eastAsia="黑体"/>
          <w:szCs w:val="21"/>
        </w:rPr>
        <w:t>；</w:t>
      </w:r>
    </w:p>
    <w:p>
      <w:pPr>
        <w:pStyle w:val="10"/>
        <w:numPr>
          <w:ilvl w:val="0"/>
          <w:numId w:val="8"/>
        </w:numPr>
        <w:spacing w:line="269" w:lineRule="auto"/>
        <w:ind w:firstLineChars="0"/>
        <w:jc w:val="left"/>
        <w:rPr>
          <w:rFonts w:ascii="黑体" w:hAnsi="黑体" w:eastAsia="黑体"/>
          <w:szCs w:val="21"/>
        </w:rPr>
      </w:pPr>
      <w:r>
        <w:rPr>
          <w:rFonts w:hint="eastAsia" w:ascii="黑体" w:hAnsi="黑体" w:eastAsia="黑体"/>
          <w:szCs w:val="21"/>
        </w:rPr>
        <w:t>若</w:t>
      </w:r>
      <w:r>
        <w:rPr>
          <w:rFonts w:ascii="黑体" w:hAnsi="黑体" w:eastAsia="黑体"/>
          <w:szCs w:val="21"/>
        </w:rPr>
        <w:t>我公司中标，</w:t>
      </w:r>
      <w:r>
        <w:rPr>
          <w:rFonts w:hint="eastAsia" w:ascii="黑体" w:hAnsi="黑体" w:eastAsia="黑体"/>
          <w:szCs w:val="21"/>
        </w:rPr>
        <w:t>保证按投标</w:t>
      </w:r>
      <w:r>
        <w:rPr>
          <w:rFonts w:ascii="黑体" w:hAnsi="黑体" w:eastAsia="黑体"/>
          <w:szCs w:val="21"/>
        </w:rPr>
        <w:t>承诺书中相关规定和招标文件中的相关</w:t>
      </w:r>
      <w:r>
        <w:rPr>
          <w:rFonts w:hint="eastAsia" w:ascii="黑体" w:hAnsi="黑体" w:eastAsia="黑体"/>
          <w:szCs w:val="21"/>
        </w:rPr>
        <w:t>条款</w:t>
      </w:r>
      <w:r>
        <w:rPr>
          <w:rFonts w:ascii="黑体" w:hAnsi="黑体" w:eastAsia="黑体"/>
          <w:szCs w:val="21"/>
        </w:rPr>
        <w:t>执行，如未按要求执行，投标人有权向我公司提出终止</w:t>
      </w:r>
      <w:r>
        <w:rPr>
          <w:rFonts w:hint="eastAsia" w:ascii="黑体" w:hAnsi="黑体" w:eastAsia="黑体"/>
          <w:szCs w:val="21"/>
        </w:rPr>
        <w:t>项目</w:t>
      </w:r>
      <w:r>
        <w:rPr>
          <w:rFonts w:ascii="黑体" w:hAnsi="黑体" w:eastAsia="黑体"/>
          <w:szCs w:val="21"/>
        </w:rPr>
        <w:t>。</w:t>
      </w:r>
    </w:p>
    <w:p>
      <w:pPr>
        <w:spacing w:line="269" w:lineRule="auto"/>
        <w:jc w:val="left"/>
        <w:rPr>
          <w:rFonts w:ascii="黑体" w:hAnsi="黑体" w:eastAsia="黑体"/>
          <w:szCs w:val="21"/>
        </w:rPr>
      </w:pPr>
      <w:r>
        <w:rPr>
          <w:rFonts w:hint="eastAsia" w:ascii="黑体" w:hAnsi="黑体" w:eastAsia="黑体"/>
          <w:szCs w:val="21"/>
        </w:rPr>
        <w:t>特此</w:t>
      </w:r>
      <w:r>
        <w:rPr>
          <w:rFonts w:ascii="黑体" w:hAnsi="黑体" w:eastAsia="黑体"/>
          <w:szCs w:val="21"/>
        </w:rPr>
        <w:t>承诺！</w:t>
      </w:r>
    </w:p>
    <w:p>
      <w:pPr>
        <w:widowControl/>
        <w:spacing w:line="269" w:lineRule="auto"/>
        <w:rPr>
          <w:rFonts w:ascii="黑体" w:hAnsi="黑体" w:eastAsia="黑体"/>
          <w:sz w:val="44"/>
          <w:szCs w:val="44"/>
        </w:rPr>
      </w:pPr>
      <w:r>
        <w:rPr>
          <w:rFonts w:ascii="黑体" w:hAnsi="黑体" w:eastAsia="黑体"/>
          <w:szCs w:val="21"/>
        </w:rPr>
        <mc:AlternateContent>
          <mc:Choice Requires="wps">
            <w:drawing>
              <wp:anchor distT="0" distB="0" distL="114300" distR="114300" simplePos="0" relativeHeight="251659264" behindDoc="0" locked="0" layoutInCell="1" allowOverlap="1">
                <wp:simplePos x="0" y="0"/>
                <wp:positionH relativeFrom="column">
                  <wp:posOffset>2207260</wp:posOffset>
                </wp:positionH>
                <wp:positionV relativeFrom="paragraph">
                  <wp:posOffset>468630</wp:posOffset>
                </wp:positionV>
                <wp:extent cx="4566285" cy="2193290"/>
                <wp:effectExtent l="0" t="0" r="0" b="0"/>
                <wp:wrapNone/>
                <wp:docPr id="173" name="文本框 1"/>
                <wp:cNvGraphicFramePr/>
                <a:graphic xmlns:a="http://schemas.openxmlformats.org/drawingml/2006/main">
                  <a:graphicData uri="http://schemas.microsoft.com/office/word/2010/wordprocessingShape">
                    <wps:wsp>
                      <wps:cNvSpPr txBox="1"/>
                      <wps:spPr>
                        <a:xfrm>
                          <a:off x="0" y="0"/>
                          <a:ext cx="4566285" cy="2193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pPr>
                              <w:spacing w:line="480" w:lineRule="auto"/>
                              <w:ind w:right="960"/>
                              <w:jc w:val="left"/>
                              <w:rPr>
                                <w:rFonts w:ascii="华文中宋" w:hAnsi="华文中宋" w:eastAsia="华文中宋"/>
                                <w:sz w:val="15"/>
                                <w:szCs w:val="15"/>
                                <w:u w:val="single"/>
                              </w:rPr>
                            </w:pPr>
                          </w:p>
                          <w:p>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pPr>
                              <w:spacing w:line="480" w:lineRule="auto"/>
                              <w:ind w:right="960"/>
                              <w:jc w:val="left"/>
                              <w:rPr>
                                <w:rFonts w:ascii="华文中宋" w:hAnsi="华文中宋" w:eastAsia="华文中宋"/>
                                <w:sz w:val="28"/>
                                <w:szCs w:val="28"/>
                                <w:u w:val="single"/>
                              </w:rPr>
                            </w:pPr>
                          </w:p>
                          <w:p>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73.8pt;margin-top:36.9pt;height:172.7pt;width:359.55pt;z-index:251659264;mso-width-relative:page;mso-height-relative:page;" filled="f" stroked="f" coordsize="21600,21600" o:gfxdata="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7fPF9wAAAALAQAADwAAAAAAAAAB&#10;ACAAAAAiAAAAZHJzL2Rvd25yZXYueG1sUEsBAhQAFAAAAAgAh07iQLMgnsBFAgAAdwQAAA4AAAAA&#10;AAAAAQAgAAAAKwEAAGRycy9lMm9Eb2MueG1sUEsFBgAAAAAGAAYAWQEAAOIFAAAAAA==&#10;">
                <v:fill on="f" focussize="0,0"/>
                <v:stroke on="f" weight="0.5pt"/>
                <v:imagedata o:title=""/>
                <o:lock v:ext="edit" aspectratio="f"/>
                <v:textbox>
                  <w:txbxContent>
                    <w:p>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pPr>
                        <w:spacing w:line="480" w:lineRule="auto"/>
                        <w:ind w:right="960"/>
                        <w:jc w:val="left"/>
                        <w:rPr>
                          <w:rFonts w:ascii="华文中宋" w:hAnsi="华文中宋" w:eastAsia="华文中宋"/>
                          <w:sz w:val="15"/>
                          <w:szCs w:val="15"/>
                          <w:u w:val="single"/>
                        </w:rPr>
                      </w:pPr>
                    </w:p>
                    <w:p>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pPr>
                        <w:spacing w:line="480" w:lineRule="auto"/>
                        <w:ind w:right="960"/>
                        <w:jc w:val="left"/>
                        <w:rPr>
                          <w:rFonts w:ascii="华文中宋" w:hAnsi="华文中宋" w:eastAsia="华文中宋"/>
                          <w:sz w:val="28"/>
                          <w:szCs w:val="28"/>
                          <w:u w:val="single"/>
                        </w:rPr>
                      </w:pPr>
                    </w:p>
                    <w:p>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v:textbox>
              </v:shape>
            </w:pict>
          </mc:Fallback>
        </mc:AlternateContent>
      </w:r>
    </w:p>
    <w:p>
      <w:pPr>
        <w:widowControl/>
        <w:spacing w:line="269" w:lineRule="auto"/>
        <w:jc w:val="left"/>
        <w:rPr>
          <w:rFonts w:ascii="黑体" w:hAnsi="黑体" w:eastAsia="黑体"/>
        </w:rPr>
      </w:pPr>
      <w:r>
        <w:rPr>
          <w:rFonts w:ascii="黑体" w:hAnsi="黑体" w:eastAsia="黑体"/>
        </w:rPr>
        <w:br w:type="page"/>
      </w:r>
    </w:p>
    <w:p>
      <w:pPr>
        <w:spacing w:before="312" w:beforeLines="100" w:after="312" w:afterLines="100" w:line="269" w:lineRule="auto"/>
        <w:jc w:val="center"/>
        <w:rPr>
          <w:rFonts w:hint="eastAsia" w:ascii="黑体" w:hAnsi="黑体" w:eastAsia="黑体"/>
          <w:b/>
          <w:sz w:val="40"/>
          <w:szCs w:val="44"/>
        </w:rPr>
      </w:pPr>
    </w:p>
    <w:p>
      <w:pPr>
        <w:spacing w:before="312" w:beforeLines="100" w:after="312" w:afterLines="100" w:line="269" w:lineRule="auto"/>
        <w:jc w:val="center"/>
        <w:rPr>
          <w:rFonts w:ascii="黑体" w:hAnsi="黑体" w:eastAsia="黑体"/>
          <w:b/>
          <w:sz w:val="40"/>
          <w:szCs w:val="44"/>
        </w:rPr>
      </w:pPr>
      <w:r>
        <w:rPr>
          <w:rFonts w:hint="eastAsia" w:ascii="黑体" w:hAnsi="黑体" w:eastAsia="黑体"/>
          <w:b/>
          <w:sz w:val="40"/>
          <w:szCs w:val="44"/>
        </w:rPr>
        <w:t>投标报价单</w:t>
      </w:r>
    </w:p>
    <w:p>
      <w:pPr>
        <w:spacing w:line="269" w:lineRule="auto"/>
        <w:rPr>
          <w:rFonts w:ascii="黑体" w:hAnsi="黑体" w:eastAsia="黑体"/>
          <w:sz w:val="28"/>
          <w:szCs w:val="28"/>
        </w:rPr>
      </w:pPr>
      <w:r>
        <w:rPr>
          <w:rFonts w:hint="eastAsia" w:ascii="黑体" w:hAnsi="黑体" w:eastAsia="黑体"/>
          <w:sz w:val="28"/>
          <w:szCs w:val="28"/>
        </w:rPr>
        <w:t>广州金松电器营销有限公司：</w:t>
      </w:r>
    </w:p>
    <w:p>
      <w:pPr>
        <w:spacing w:line="269" w:lineRule="auto"/>
        <w:ind w:firstLine="560" w:firstLineChars="200"/>
        <w:rPr>
          <w:rFonts w:ascii="黑体" w:hAnsi="黑体" w:eastAsia="黑体"/>
          <w:sz w:val="28"/>
          <w:szCs w:val="28"/>
        </w:rPr>
      </w:pPr>
      <w:r>
        <w:rPr>
          <w:rFonts w:hint="eastAsia" w:ascii="黑体" w:hAnsi="黑体" w:eastAsia="黑体"/>
          <w:sz w:val="28"/>
          <w:szCs w:val="28"/>
        </w:rPr>
        <w:t>应贵公司邀标，本公司于202</w:t>
      </w:r>
      <w:r>
        <w:rPr>
          <w:rFonts w:hint="eastAsia" w:ascii="黑体" w:hAnsi="黑体" w:eastAsia="黑体"/>
          <w:sz w:val="28"/>
          <w:szCs w:val="28"/>
          <w:lang w:val="en-US" w:eastAsia="zh-CN"/>
        </w:rPr>
        <w:t>3</w:t>
      </w:r>
      <w:r>
        <w:rPr>
          <w:rFonts w:hint="eastAsia" w:ascii="黑体" w:hAnsi="黑体" w:eastAsia="黑体"/>
          <w:sz w:val="28"/>
          <w:szCs w:val="28"/>
        </w:rPr>
        <w:t>年</w:t>
      </w:r>
      <w:r>
        <w:rPr>
          <w:rFonts w:hint="eastAsia" w:ascii="黑体" w:hAnsi="黑体" w:eastAsia="黑体"/>
          <w:sz w:val="28"/>
          <w:szCs w:val="28"/>
          <w:u w:val="single"/>
        </w:rPr>
        <w:t xml:space="preserve">   </w:t>
      </w:r>
      <w:r>
        <w:rPr>
          <w:rFonts w:hint="eastAsia" w:ascii="黑体" w:hAnsi="黑体" w:eastAsia="黑体"/>
          <w:sz w:val="28"/>
          <w:szCs w:val="28"/>
        </w:rPr>
        <w:t>月</w:t>
      </w:r>
      <w:r>
        <w:rPr>
          <w:rFonts w:hint="eastAsia" w:ascii="黑体" w:hAnsi="黑体" w:eastAsia="黑体"/>
          <w:sz w:val="28"/>
          <w:szCs w:val="28"/>
          <w:u w:val="single"/>
        </w:rPr>
        <w:t xml:space="preserve">   </w:t>
      </w:r>
      <w:r>
        <w:rPr>
          <w:rFonts w:hint="eastAsia" w:ascii="黑体" w:hAnsi="黑体" w:eastAsia="黑体"/>
          <w:sz w:val="28"/>
          <w:szCs w:val="28"/>
        </w:rPr>
        <w:t>日参加了贵公司产成品</w:t>
      </w:r>
      <w:r>
        <w:rPr>
          <w:rFonts w:hint="eastAsia" w:ascii="黑体" w:hAnsi="黑体" w:eastAsia="黑体"/>
          <w:sz w:val="28"/>
          <w:szCs w:val="28"/>
          <w:lang w:val="en-US" w:eastAsia="zh-CN"/>
        </w:rPr>
        <w:t>佛山</w:t>
      </w:r>
      <w:r>
        <w:rPr>
          <w:rFonts w:hint="eastAsia" w:ascii="黑体" w:hAnsi="黑体" w:eastAsia="黑体"/>
          <w:sz w:val="28"/>
          <w:szCs w:val="28"/>
        </w:rPr>
        <w:t>仓储物流招投标。在此对本公司的竞投结果确认如下：</w:t>
      </w:r>
    </w:p>
    <w:p>
      <w:pPr>
        <w:spacing w:before="156" w:beforeLines="50" w:after="156" w:afterLines="50" w:line="269" w:lineRule="auto"/>
        <w:rPr>
          <w:rFonts w:ascii="黑体" w:hAnsi="黑体" w:eastAsia="黑体"/>
          <w:sz w:val="28"/>
          <w:szCs w:val="28"/>
        </w:rPr>
      </w:pPr>
    </w:p>
    <w:p>
      <w:pPr>
        <w:spacing w:before="156" w:beforeLines="50" w:after="156" w:afterLines="50" w:line="269" w:lineRule="auto"/>
        <w:rPr>
          <w:rFonts w:ascii="黑体" w:hAnsi="黑体" w:eastAsia="黑体"/>
          <w:sz w:val="28"/>
          <w:szCs w:val="28"/>
        </w:rPr>
      </w:pPr>
      <w:r>
        <w:rPr>
          <w:rFonts w:hint="eastAsia" w:ascii="黑体" w:hAnsi="黑体" w:eastAsia="黑体"/>
          <w:sz w:val="28"/>
          <w:szCs w:val="28"/>
        </w:rPr>
        <w:t>本公司保证遵守和履行贵公司招标文件所声明的运作要求和合同条款，为贵公司提供满意的物流服务。</w:t>
      </w:r>
    </w:p>
    <w:p>
      <w:pPr>
        <w:spacing w:before="156" w:beforeLines="50" w:after="624" w:afterLines="200" w:line="269" w:lineRule="auto"/>
        <w:ind w:firstLine="420" w:firstLineChars="200"/>
        <w:rPr>
          <w:rFonts w:ascii="黑体" w:hAnsi="黑体" w:eastAsia="黑体"/>
          <w:sz w:val="28"/>
          <w:szCs w:val="28"/>
        </w:rPr>
      </w:pP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2537460</wp:posOffset>
                </wp:positionH>
                <wp:positionV relativeFrom="paragraph">
                  <wp:posOffset>26670</wp:posOffset>
                </wp:positionV>
                <wp:extent cx="3837305" cy="1798955"/>
                <wp:effectExtent l="0" t="0" r="0" b="0"/>
                <wp:wrapNone/>
                <wp:docPr id="172" name="文本框 12"/>
                <wp:cNvGraphicFramePr/>
                <a:graphic xmlns:a="http://schemas.openxmlformats.org/drawingml/2006/main">
                  <a:graphicData uri="http://schemas.microsoft.com/office/word/2010/wordprocessingShape">
                    <wps:wsp>
                      <wps:cNvSpPr txBox="1"/>
                      <wps:spPr>
                        <a:xfrm>
                          <a:off x="0" y="0"/>
                          <a:ext cx="3837305" cy="1798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99.8pt;margin-top:2.1pt;height:141.65pt;width:302.15pt;z-index:251660288;mso-width-relative:page;mso-height-relative:page;" filled="f" stroked="f" coordsize="21600,21600" o:gfxdata="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SO01NsAAAAKAQAADwAAAAAAAAAB&#10;ACAAAAAiAAAAZHJzL2Rvd25yZXYueG1sUEsBAhQAFAAAAAgAh07iQDzF6clGAgAAeAQAAA4AAAAA&#10;AAAAAQAgAAAAKgEAAGRycy9lMm9Eb2MueG1sUEsFBgAAAAAGAAYAWQEAAOIFAAAAAA==&#10;">
                <v:fill on="f" focussize="0,0"/>
                <v:stroke on="f" weight="0.5pt"/>
                <v:imagedata o:title=""/>
                <o:lock v:ext="edit" aspectratio="f"/>
                <v:textbox>
                  <w:txbxContent>
                    <w:p>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v:textbox>
              </v:shape>
            </w:pict>
          </mc:Fallback>
        </mc:AlternateContent>
      </w:r>
    </w:p>
    <w:p>
      <w:pPr>
        <w:spacing w:before="156" w:beforeLines="50" w:after="624" w:afterLines="200" w:line="269" w:lineRule="auto"/>
        <w:rPr>
          <w:rFonts w:ascii="黑体" w:hAnsi="黑体" w:eastAsia="黑体"/>
          <w:sz w:val="24"/>
          <w:szCs w:val="28"/>
        </w:rPr>
      </w:pP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8000012" w:usb3="00000000" w:csb0="0002009F" w:csb1="00000000"/>
  </w:font>
  <w:font w:name="华文中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41D00"/>
    <w:multiLevelType w:val="singleLevel"/>
    <w:tmpl w:val="A6B41D00"/>
    <w:lvl w:ilvl="0" w:tentative="0">
      <w:start w:val="2"/>
      <w:numFmt w:val="chineseCounting"/>
      <w:suff w:val="nothing"/>
      <w:lvlText w:val="%1、"/>
      <w:lvlJc w:val="left"/>
      <w:rPr>
        <w:rFonts w:hint="eastAsia"/>
      </w:rPr>
    </w:lvl>
  </w:abstractNum>
  <w:abstractNum w:abstractNumId="1">
    <w:nsid w:val="003F2E9E"/>
    <w:multiLevelType w:val="multilevel"/>
    <w:tmpl w:val="003F2E9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9055C8"/>
    <w:multiLevelType w:val="multilevel"/>
    <w:tmpl w:val="339055C8"/>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3">
    <w:nsid w:val="36D6747C"/>
    <w:multiLevelType w:val="multilevel"/>
    <w:tmpl w:val="36D6747C"/>
    <w:lvl w:ilvl="0" w:tentative="0">
      <w:start w:val="1"/>
      <w:numFmt w:val="decimal"/>
      <w:lvlText w:val="%1、"/>
      <w:lvlJc w:val="left"/>
      <w:pPr>
        <w:ind w:left="1440" w:hanging="720"/>
      </w:pPr>
      <w:rPr>
        <w:rFonts w:hint="default"/>
      </w:rPr>
    </w:lvl>
    <w:lvl w:ilvl="1" w:tentative="0">
      <w:start w:val="6"/>
      <w:numFmt w:val="decimal"/>
      <w:lvlText w:val="（%2）"/>
      <w:lvlJc w:val="left"/>
      <w:pPr>
        <w:ind w:left="1860" w:hanging="72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39C04869"/>
    <w:multiLevelType w:val="multilevel"/>
    <w:tmpl w:val="39C04869"/>
    <w:lvl w:ilvl="0" w:tentative="0">
      <w:start w:val="1"/>
      <w:numFmt w:val="decimal"/>
      <w:lvlText w:val="%1、"/>
      <w:lvlJc w:val="left"/>
      <w:pPr>
        <w:ind w:left="780" w:hanging="360"/>
      </w:pPr>
      <w:rPr>
        <w:rFonts w:hint="default"/>
      </w:rPr>
    </w:lvl>
    <w:lvl w:ilvl="1" w:tentative="0">
      <w:start w:val="1"/>
      <w:numFmt w:val="decimal"/>
      <w:lvlText w:val="（%2）"/>
      <w:lvlJc w:val="left"/>
      <w:pPr>
        <w:ind w:left="1560" w:hanging="720"/>
      </w:pPr>
      <w:rPr>
        <w:rFonts w:hint="default" w:ascii="华文中宋" w:hAnsi="华文中宋" w:eastAsia="华文中宋"/>
        <w:color w:val="auto"/>
      </w:rPr>
    </w:lvl>
    <w:lvl w:ilvl="2" w:tentative="0">
      <w:start w:val="4"/>
      <w:numFmt w:val="japaneseCounting"/>
      <w:lvlText w:val="%3、"/>
      <w:lvlJc w:val="left"/>
      <w:pPr>
        <w:ind w:left="450" w:hanging="45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D2F3A5A"/>
    <w:multiLevelType w:val="multilevel"/>
    <w:tmpl w:val="4D2F3A5A"/>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4E781ED9"/>
    <w:multiLevelType w:val="multilevel"/>
    <w:tmpl w:val="4E781ED9"/>
    <w:lvl w:ilvl="0" w:tentative="0">
      <w:start w:val="1"/>
      <w:numFmt w:val="decimal"/>
      <w:lvlText w:val="%1、"/>
      <w:lvlJc w:val="left"/>
      <w:pPr>
        <w:ind w:left="840" w:hanging="420"/>
      </w:pPr>
      <w:rPr>
        <w:rFonts w:ascii="黑体" w:hAnsi="黑体" w:eastAsia="黑体"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CE77738"/>
    <w:multiLevelType w:val="multilevel"/>
    <w:tmpl w:val="7CE77738"/>
    <w:lvl w:ilvl="0" w:tentative="0">
      <w:start w:val="1"/>
      <w:numFmt w:val="japaneseCounting"/>
      <w:lvlText w:val="第%1章"/>
      <w:lvlJc w:val="left"/>
      <w:pPr>
        <w:ind w:left="1440" w:hanging="1440"/>
      </w:pPr>
      <w:rPr>
        <w:rFonts w:hint="default"/>
      </w:rPr>
    </w:lvl>
    <w:lvl w:ilvl="1" w:tentative="0">
      <w:start w:val="1"/>
      <w:numFmt w:val="decimal"/>
      <w:lvlText w:val="%2、"/>
      <w:lvlJc w:val="left"/>
      <w:pPr>
        <w:ind w:left="780" w:hanging="360"/>
      </w:pPr>
      <w:rPr>
        <w:rFonts w:hint="default"/>
        <w:b w:val="0"/>
        <w:sz w:val="18"/>
        <w:szCs w:val="18"/>
      </w:rPr>
    </w:lvl>
    <w:lvl w:ilvl="2" w:tentative="0">
      <w:start w:val="1"/>
      <w:numFmt w:val="japaneseCounting"/>
      <w:lvlText w:val="第%3章"/>
      <w:lvlJc w:val="left"/>
      <w:pPr>
        <w:ind w:left="1575" w:hanging="735"/>
      </w:pPr>
      <w:rPr>
        <w:rFonts w:hint="default"/>
      </w:rPr>
    </w:lvl>
    <w:lvl w:ilvl="3" w:tentative="0">
      <w:start w:val="1"/>
      <w:numFmt w:val="decimal"/>
      <w:lvlText w:val="（%4）"/>
      <w:lvlJc w:val="left"/>
      <w:pPr>
        <w:ind w:left="1430" w:hanging="720"/>
      </w:pPr>
      <w:rPr>
        <w:rFonts w:hint="default"/>
        <w:color w:val="333333"/>
      </w:rPr>
    </w:lvl>
    <w:lvl w:ilvl="4" w:tentative="0">
      <w:start w:val="3"/>
      <w:numFmt w:val="japaneseCounting"/>
      <w:lvlText w:val="%5、"/>
      <w:lvlJc w:val="left"/>
      <w:pPr>
        <w:ind w:left="2100" w:hanging="420"/>
      </w:pPr>
      <w:rPr>
        <w:rFonts w:hint="default" w:ascii="华文中宋" w:hAnsi="华文中宋" w:eastAsia="华文中宋"/>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1"/>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mMmZkNzU1NGI0ODhkZDU5ODI1YWFhNWRkMmU2YTMifQ=="/>
  </w:docVars>
  <w:rsids>
    <w:rsidRoot w:val="00004F1E"/>
    <w:rsid w:val="00004F1E"/>
    <w:rsid w:val="00012766"/>
    <w:rsid w:val="000459B1"/>
    <w:rsid w:val="00046B22"/>
    <w:rsid w:val="000913CD"/>
    <w:rsid w:val="00096894"/>
    <w:rsid w:val="000C7186"/>
    <w:rsid w:val="001143AE"/>
    <w:rsid w:val="00144FF1"/>
    <w:rsid w:val="00156A50"/>
    <w:rsid w:val="001618DC"/>
    <w:rsid w:val="0019000A"/>
    <w:rsid w:val="001A1A40"/>
    <w:rsid w:val="001E7409"/>
    <w:rsid w:val="00206E11"/>
    <w:rsid w:val="00210DF4"/>
    <w:rsid w:val="0021358E"/>
    <w:rsid w:val="00224E6F"/>
    <w:rsid w:val="002444C3"/>
    <w:rsid w:val="00246C51"/>
    <w:rsid w:val="002570A0"/>
    <w:rsid w:val="002718DC"/>
    <w:rsid w:val="00272FB3"/>
    <w:rsid w:val="0029239B"/>
    <w:rsid w:val="002A2C88"/>
    <w:rsid w:val="002D6A1A"/>
    <w:rsid w:val="002E5099"/>
    <w:rsid w:val="00302403"/>
    <w:rsid w:val="0031573B"/>
    <w:rsid w:val="00377E6B"/>
    <w:rsid w:val="003C1751"/>
    <w:rsid w:val="003D4937"/>
    <w:rsid w:val="003D57E9"/>
    <w:rsid w:val="00403E9C"/>
    <w:rsid w:val="004335BE"/>
    <w:rsid w:val="004451FC"/>
    <w:rsid w:val="004575BC"/>
    <w:rsid w:val="00463332"/>
    <w:rsid w:val="00475381"/>
    <w:rsid w:val="00481EC8"/>
    <w:rsid w:val="00490C39"/>
    <w:rsid w:val="004A5C51"/>
    <w:rsid w:val="004A7A5E"/>
    <w:rsid w:val="004C2F06"/>
    <w:rsid w:val="004D68F6"/>
    <w:rsid w:val="0050337D"/>
    <w:rsid w:val="005036DA"/>
    <w:rsid w:val="00544249"/>
    <w:rsid w:val="005A0A4D"/>
    <w:rsid w:val="005C19E1"/>
    <w:rsid w:val="005D0771"/>
    <w:rsid w:val="005F53BE"/>
    <w:rsid w:val="006361C4"/>
    <w:rsid w:val="0063691A"/>
    <w:rsid w:val="00645E45"/>
    <w:rsid w:val="00697B74"/>
    <w:rsid w:val="006A24DE"/>
    <w:rsid w:val="006A7C00"/>
    <w:rsid w:val="006B2D04"/>
    <w:rsid w:val="006B4B18"/>
    <w:rsid w:val="006C7980"/>
    <w:rsid w:val="006D637B"/>
    <w:rsid w:val="006E392F"/>
    <w:rsid w:val="006F7092"/>
    <w:rsid w:val="00720CBB"/>
    <w:rsid w:val="007274FD"/>
    <w:rsid w:val="00774CA0"/>
    <w:rsid w:val="00776B5D"/>
    <w:rsid w:val="007A73AA"/>
    <w:rsid w:val="007C254A"/>
    <w:rsid w:val="007D5024"/>
    <w:rsid w:val="007F1F51"/>
    <w:rsid w:val="007F72B7"/>
    <w:rsid w:val="0083313F"/>
    <w:rsid w:val="00870433"/>
    <w:rsid w:val="00870EAB"/>
    <w:rsid w:val="00877C01"/>
    <w:rsid w:val="00882730"/>
    <w:rsid w:val="008957E2"/>
    <w:rsid w:val="00922325"/>
    <w:rsid w:val="00933B7E"/>
    <w:rsid w:val="00962C05"/>
    <w:rsid w:val="009903D4"/>
    <w:rsid w:val="009D54C4"/>
    <w:rsid w:val="009D7B09"/>
    <w:rsid w:val="009D7F05"/>
    <w:rsid w:val="00A65229"/>
    <w:rsid w:val="00AD49C4"/>
    <w:rsid w:val="00AD686C"/>
    <w:rsid w:val="00AD7B1C"/>
    <w:rsid w:val="00B82C8D"/>
    <w:rsid w:val="00C202B7"/>
    <w:rsid w:val="00C45EEA"/>
    <w:rsid w:val="00C52BC8"/>
    <w:rsid w:val="00CE3802"/>
    <w:rsid w:val="00D024BB"/>
    <w:rsid w:val="00D03C5C"/>
    <w:rsid w:val="00D54390"/>
    <w:rsid w:val="00D74929"/>
    <w:rsid w:val="00D77AAC"/>
    <w:rsid w:val="00D905AA"/>
    <w:rsid w:val="00DB4500"/>
    <w:rsid w:val="00DC10C6"/>
    <w:rsid w:val="00E43AF8"/>
    <w:rsid w:val="00EB695D"/>
    <w:rsid w:val="00EE4695"/>
    <w:rsid w:val="00F0177A"/>
    <w:rsid w:val="00F21DD7"/>
    <w:rsid w:val="00F30FFA"/>
    <w:rsid w:val="00F31216"/>
    <w:rsid w:val="00F352B6"/>
    <w:rsid w:val="00F53EF1"/>
    <w:rsid w:val="00F737DA"/>
    <w:rsid w:val="00F9505B"/>
    <w:rsid w:val="00FC12CC"/>
    <w:rsid w:val="00FD5BB1"/>
    <w:rsid w:val="00FE080B"/>
    <w:rsid w:val="027C05F9"/>
    <w:rsid w:val="02F627A0"/>
    <w:rsid w:val="06A116ED"/>
    <w:rsid w:val="06E04E46"/>
    <w:rsid w:val="087C3A43"/>
    <w:rsid w:val="09426AD5"/>
    <w:rsid w:val="0CDB5025"/>
    <w:rsid w:val="0E543897"/>
    <w:rsid w:val="0F074F68"/>
    <w:rsid w:val="0F4636E0"/>
    <w:rsid w:val="10596638"/>
    <w:rsid w:val="112A112E"/>
    <w:rsid w:val="15A555B0"/>
    <w:rsid w:val="1F955A1B"/>
    <w:rsid w:val="22552D45"/>
    <w:rsid w:val="230E7FB1"/>
    <w:rsid w:val="235A1427"/>
    <w:rsid w:val="23A076E5"/>
    <w:rsid w:val="2B9542E2"/>
    <w:rsid w:val="2C6E782D"/>
    <w:rsid w:val="2E0D2959"/>
    <w:rsid w:val="2FFB4CA4"/>
    <w:rsid w:val="33C01D9E"/>
    <w:rsid w:val="36451B21"/>
    <w:rsid w:val="36EA4582"/>
    <w:rsid w:val="378974B0"/>
    <w:rsid w:val="3A5859A4"/>
    <w:rsid w:val="3AB06B05"/>
    <w:rsid w:val="3BFB3822"/>
    <w:rsid w:val="3EC01429"/>
    <w:rsid w:val="45D36FAF"/>
    <w:rsid w:val="460D5750"/>
    <w:rsid w:val="46F74436"/>
    <w:rsid w:val="47B04943"/>
    <w:rsid w:val="4A001853"/>
    <w:rsid w:val="4ABA785C"/>
    <w:rsid w:val="4BB304E5"/>
    <w:rsid w:val="4E671675"/>
    <w:rsid w:val="541F33BE"/>
    <w:rsid w:val="544309D6"/>
    <w:rsid w:val="562118B8"/>
    <w:rsid w:val="57A9177C"/>
    <w:rsid w:val="59F2361E"/>
    <w:rsid w:val="5C7E491E"/>
    <w:rsid w:val="6236151B"/>
    <w:rsid w:val="627E55B4"/>
    <w:rsid w:val="65B11152"/>
    <w:rsid w:val="65C460D7"/>
    <w:rsid w:val="69C95D87"/>
    <w:rsid w:val="6A6565DE"/>
    <w:rsid w:val="6D8F5BF7"/>
    <w:rsid w:val="724E5A63"/>
    <w:rsid w:val="74012BCF"/>
    <w:rsid w:val="77EC11FF"/>
    <w:rsid w:val="78104EAB"/>
    <w:rsid w:val="7CD0797C"/>
    <w:rsid w:val="7D102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line="240" w:lineRule="auto"/>
      <w:ind w:left="315"/>
    </w:pPr>
    <w:rPr>
      <w:rFonts w:ascii="黑体" w:hAnsi="Times New Roman" w:eastAsia="黑体" w:cs="Times New Roman"/>
      <w:szCs w:val="20"/>
    </w:r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2D64B3"/>
      <w:u w:val="none"/>
    </w:rPr>
  </w:style>
  <w:style w:type="paragraph" w:styleId="10">
    <w:name w:val="List Paragraph"/>
    <w:basedOn w:val="1"/>
    <w:qFormat/>
    <w:uiPriority w:val="34"/>
    <w:pPr>
      <w:ind w:firstLine="420" w:firstLineChars="200"/>
    </w:p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页眉 字符"/>
    <w:basedOn w:val="8"/>
    <w:link w:val="5"/>
    <w:qFormat/>
    <w:uiPriority w:val="99"/>
    <w:rPr>
      <w:sz w:val="18"/>
      <w:szCs w:val="18"/>
    </w:rPr>
  </w:style>
  <w:style w:type="character" w:customStyle="1" w:styleId="14">
    <w:name w:val="正文文本缩进 字符"/>
    <w:basedOn w:val="8"/>
    <w:link w:val="2"/>
    <w:qFormat/>
    <w:uiPriority w:val="0"/>
    <w:rPr>
      <w:rFonts w:ascii="黑体" w:hAnsi="Times New Roman" w:eastAsia="黑体" w:cs="Times New Roman"/>
      <w:szCs w:val="20"/>
    </w:rPr>
  </w:style>
  <w:style w:type="paragraph" w:customStyle="1" w:styleId="15">
    <w:name w:val="ＩＳＯ本文　標準"/>
    <w:basedOn w:val="1"/>
    <w:link w:val="16"/>
    <w:qFormat/>
    <w:uiPriority w:val="0"/>
    <w:pPr>
      <w:tabs>
        <w:tab w:val="left" w:pos="420"/>
      </w:tabs>
      <w:spacing w:line="240" w:lineRule="auto"/>
      <w:ind w:left="420" w:leftChars="210" w:right="78" w:firstLine="210" w:firstLineChars="105"/>
    </w:pPr>
    <w:rPr>
      <w:rFonts w:ascii="Century" w:hAnsi="Century" w:eastAsia="MS Mincho" w:cs="Times New Roman"/>
      <w:sz w:val="20"/>
      <w:szCs w:val="20"/>
      <w:lang w:eastAsia="ja-JP"/>
    </w:rPr>
  </w:style>
  <w:style w:type="character" w:customStyle="1" w:styleId="16">
    <w:name w:val="ＩＳＯ本文　標準 Char"/>
    <w:link w:val="15"/>
    <w:qFormat/>
    <w:uiPriority w:val="0"/>
    <w:rPr>
      <w:rFonts w:ascii="Century" w:hAnsi="Century" w:eastAsia="MS Mincho" w:cs="Times New Roman"/>
      <w:sz w:val="20"/>
      <w:szCs w:val="20"/>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EE8FD-5044-443E-95C9-034245C9C1D9}">
  <ds:schemaRefs/>
</ds:datastoreItem>
</file>

<file path=docProps/app.xml><?xml version="1.0" encoding="utf-8"?>
<Properties xmlns="http://schemas.openxmlformats.org/officeDocument/2006/extended-properties" xmlns:vt="http://schemas.openxmlformats.org/officeDocument/2006/docPropsVTypes">
  <Template>Normal</Template>
  <Pages>5</Pages>
  <Words>2271</Words>
  <Characters>2346</Characters>
  <Lines>21</Lines>
  <Paragraphs>6</Paragraphs>
  <TotalTime>242</TotalTime>
  <ScaleCrop>false</ScaleCrop>
  <LinksUpToDate>false</LinksUpToDate>
  <CharactersWithSpaces>2643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2020-08-27T04:38:00Z</dcterms:created>
  <dc:creator>华娟</dc:creator>
  <cp:lastModifiedBy> 朱响玲</cp:lastModifiedBy>
  <cp:lastPrinted>2023-03-07T01:31:00Z</cp:lastPrinted>
  <dcterms:modified xsi:type="dcterms:W3CDTF">2023-08-14T04:03:46Z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062840995ADA41E7856C79A7B06010A0_13</vt:lpwstr>
  </property>
</Properties>
</file>